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22909" w14:textId="77777777" w:rsidR="006501D2" w:rsidRPr="000746EA" w:rsidRDefault="006501D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7D2779" w14:textId="77777777" w:rsidR="006501D2" w:rsidRPr="000746EA" w:rsidRDefault="00596CE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EA">
        <w:rPr>
          <w:rFonts w:ascii="Times New Roman" w:hAnsi="Times New Roman"/>
          <w:b/>
          <w:sz w:val="24"/>
          <w:szCs w:val="24"/>
        </w:rPr>
        <w:t>GUVERNUL ROMÂNIEI</w:t>
      </w:r>
    </w:p>
    <w:p w14:paraId="50600155" w14:textId="77777777" w:rsidR="006501D2" w:rsidRPr="000746EA" w:rsidRDefault="00596CE1">
      <w:pPr>
        <w:spacing w:line="240" w:lineRule="auto"/>
        <w:rPr>
          <w:rFonts w:ascii="Times New Roman" w:hAnsi="Times New Roman"/>
          <w:sz w:val="24"/>
          <w:szCs w:val="24"/>
        </w:rPr>
      </w:pPr>
      <w:r w:rsidRPr="000746EA">
        <w:rPr>
          <w:rFonts w:ascii="Times New Roman" w:hAnsi="Times New Roman"/>
          <w:sz w:val="24"/>
          <w:szCs w:val="24"/>
        </w:rPr>
        <w:tab/>
      </w:r>
      <w:r w:rsidRPr="000746E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2C8250E" wp14:editId="534238C4">
            <wp:simplePos x="0" y="0"/>
            <wp:positionH relativeFrom="column">
              <wp:posOffset>2743200</wp:posOffset>
            </wp:positionH>
            <wp:positionV relativeFrom="paragraph">
              <wp:posOffset>46990</wp:posOffset>
            </wp:positionV>
            <wp:extent cx="677545" cy="914400"/>
            <wp:effectExtent l="0" t="0" r="8255" b="0"/>
            <wp:wrapSquare wrapText="right"/>
            <wp:docPr id="1" name="Picture 1" descr="Stema Romaniei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Romaniei 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6EA">
        <w:rPr>
          <w:rFonts w:ascii="Times New Roman" w:hAnsi="Times New Roman"/>
          <w:sz w:val="24"/>
          <w:szCs w:val="24"/>
        </w:rPr>
        <w:tab/>
      </w:r>
    </w:p>
    <w:p w14:paraId="0E1FF273" w14:textId="77777777" w:rsidR="006501D2" w:rsidRPr="000746EA" w:rsidRDefault="006501D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A4CDB6" w14:textId="77777777" w:rsidR="006501D2" w:rsidRPr="000746EA" w:rsidRDefault="006501D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F74B834" w14:textId="77777777" w:rsidR="006501D2" w:rsidRPr="000746EA" w:rsidRDefault="00650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CB6ABF" w14:textId="77777777" w:rsidR="006501D2" w:rsidRPr="000746EA" w:rsidRDefault="00596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746EA">
        <w:rPr>
          <w:rFonts w:ascii="Times New Roman" w:hAnsi="Times New Roman"/>
          <w:b/>
          <w:bCs/>
          <w:sz w:val="24"/>
          <w:szCs w:val="24"/>
        </w:rPr>
        <w:t>Ordonanţă</w:t>
      </w:r>
      <w:proofErr w:type="spellEnd"/>
      <w:r w:rsidRPr="000746EA">
        <w:rPr>
          <w:rFonts w:ascii="Times New Roman" w:hAnsi="Times New Roman"/>
          <w:b/>
          <w:bCs/>
          <w:sz w:val="24"/>
          <w:szCs w:val="24"/>
        </w:rPr>
        <w:t xml:space="preserve"> de urgență </w:t>
      </w:r>
      <w:r w:rsidRPr="000746EA">
        <w:rPr>
          <w:rFonts w:ascii="Times New Roman" w:hAnsi="Times New Roman"/>
          <w:b/>
          <w:bCs/>
          <w:sz w:val="24"/>
          <w:szCs w:val="24"/>
        </w:rPr>
        <w:br/>
        <w:t>pentru modificarea și completarea</w:t>
      </w:r>
    </w:p>
    <w:p w14:paraId="25CB02A5" w14:textId="77777777" w:rsidR="006501D2" w:rsidRPr="000746EA" w:rsidRDefault="00596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746EA">
        <w:rPr>
          <w:rFonts w:ascii="Times New Roman" w:hAnsi="Times New Roman"/>
          <w:b/>
          <w:bCs/>
          <w:sz w:val="24"/>
          <w:szCs w:val="24"/>
        </w:rPr>
        <w:t>Ordonanţei</w:t>
      </w:r>
      <w:proofErr w:type="spellEnd"/>
      <w:r w:rsidRPr="000746EA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0746EA">
        <w:rPr>
          <w:rFonts w:ascii="Times New Roman" w:hAnsi="Times New Roman"/>
          <w:b/>
          <w:bCs/>
          <w:sz w:val="24"/>
          <w:szCs w:val="24"/>
        </w:rPr>
        <w:t>urgenţă</w:t>
      </w:r>
      <w:proofErr w:type="spellEnd"/>
      <w:r w:rsidRPr="000746EA">
        <w:rPr>
          <w:rFonts w:ascii="Times New Roman" w:hAnsi="Times New Roman"/>
          <w:b/>
          <w:bCs/>
          <w:sz w:val="24"/>
          <w:szCs w:val="24"/>
        </w:rPr>
        <w:t xml:space="preserve"> a Guvernului nr. 196/2005 privind Fondul pentru mediu </w:t>
      </w:r>
    </w:p>
    <w:p w14:paraId="783144F0" w14:textId="77777777" w:rsidR="006501D2" w:rsidRPr="000746EA" w:rsidRDefault="006501D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2E9297" w14:textId="77777777" w:rsidR="006501D2" w:rsidRPr="000746EA" w:rsidRDefault="00596CE1">
      <w:pPr>
        <w:pStyle w:val="NormalWeb"/>
        <w:ind w:firstLine="708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Având în vedere faptul 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că, potrivit art. 1 din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Ordonanţa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de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urgenţă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a Guvernului nr. 196/2005 privind Fondul pentru mediu, aprobată cu modificări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şi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completări prin Legea nr. 105/2006, cu modificările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şi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completările ulterioare, „Fondul pentru mediu este un instrument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economico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-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financiar destinat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susţinerii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şi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realizării proiectelor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şi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programelor pentru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protecţia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mediului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şi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pentru atingerea obiectivelor Uniunii Europene în domeniul mediului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şi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schimbărilor climatice, în conformitate cu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dispoziţiile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legale în vigoare“,</w:t>
      </w:r>
    </w:p>
    <w:p w14:paraId="36BA77CF" w14:textId="77777777" w:rsidR="006501D2" w:rsidRPr="000746EA" w:rsidRDefault="00596C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46EA">
        <w:rPr>
          <w:rFonts w:ascii="Times New Roman" w:hAnsi="Times New Roman"/>
          <w:sz w:val="24"/>
          <w:szCs w:val="24"/>
        </w:rPr>
        <w:t>Ț</w:t>
      </w:r>
      <w:r w:rsidRPr="000746EA">
        <w:rPr>
          <w:rFonts w:ascii="Times New Roman" w:hAnsi="Times New Roman"/>
          <w:sz w:val="24"/>
          <w:szCs w:val="24"/>
        </w:rPr>
        <w:t>inând co</w:t>
      </w:r>
      <w:r w:rsidRPr="000746EA">
        <w:rPr>
          <w:rFonts w:ascii="Times New Roman" w:hAnsi="Times New Roman"/>
          <w:sz w:val="24"/>
          <w:szCs w:val="24"/>
        </w:rPr>
        <w:t xml:space="preserve">nt de necesitatea armonizării </w:t>
      </w:r>
      <w:proofErr w:type="spellStart"/>
      <w:r w:rsidRPr="000746EA">
        <w:rPr>
          <w:rFonts w:ascii="Times New Roman" w:hAnsi="Times New Roman"/>
          <w:sz w:val="24"/>
          <w:szCs w:val="24"/>
        </w:rPr>
        <w:t>legislaţiei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EA">
        <w:rPr>
          <w:rFonts w:ascii="Times New Roman" w:hAnsi="Times New Roman"/>
          <w:sz w:val="24"/>
          <w:szCs w:val="24"/>
        </w:rPr>
        <w:t>naţionale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aplicabile în domeniul gestionării </w:t>
      </w:r>
      <w:proofErr w:type="spellStart"/>
      <w:r w:rsidRPr="000746EA">
        <w:rPr>
          <w:rFonts w:ascii="Times New Roman" w:hAnsi="Times New Roman"/>
          <w:sz w:val="24"/>
          <w:szCs w:val="24"/>
        </w:rPr>
        <w:t>deşeurilor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de ambalaje cu prevederile Directivei (UE) 2018/852 a Parlamentului European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a Consiliului din 30 mai 2018, de modificare a Directivei 94/62/CE privind amb</w:t>
      </w:r>
      <w:r w:rsidRPr="000746EA">
        <w:rPr>
          <w:rFonts w:ascii="Times New Roman" w:hAnsi="Times New Roman"/>
          <w:sz w:val="24"/>
          <w:szCs w:val="24"/>
        </w:rPr>
        <w:t xml:space="preserve">alajele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EA">
        <w:rPr>
          <w:rFonts w:ascii="Times New Roman" w:hAnsi="Times New Roman"/>
          <w:sz w:val="24"/>
          <w:szCs w:val="24"/>
        </w:rPr>
        <w:t>deşeurile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de ambalaje, prin care s-au statuat obiective minime în ce </w:t>
      </w:r>
      <w:proofErr w:type="spellStart"/>
      <w:r w:rsidRPr="000746EA">
        <w:rPr>
          <w:rFonts w:ascii="Times New Roman" w:hAnsi="Times New Roman"/>
          <w:sz w:val="24"/>
          <w:szCs w:val="24"/>
        </w:rPr>
        <w:t>priveşte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reciclarea materialelor specifice </w:t>
      </w:r>
      <w:proofErr w:type="spellStart"/>
      <w:r w:rsidRPr="000746EA">
        <w:rPr>
          <w:rFonts w:ascii="Times New Roman" w:hAnsi="Times New Roman"/>
          <w:sz w:val="24"/>
          <w:szCs w:val="24"/>
        </w:rPr>
        <w:t>conţinute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Pr="000746EA">
        <w:rPr>
          <w:rFonts w:ascii="Times New Roman" w:hAnsi="Times New Roman"/>
          <w:sz w:val="24"/>
          <w:szCs w:val="24"/>
        </w:rPr>
        <w:t>deşeurile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de ambalaje, </w:t>
      </w:r>
    </w:p>
    <w:p w14:paraId="2A930895" w14:textId="77777777" w:rsidR="006501D2" w:rsidRPr="000746EA" w:rsidRDefault="00596C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46EA">
        <w:rPr>
          <w:rFonts w:ascii="Times New Roman" w:hAnsi="Times New Roman"/>
          <w:sz w:val="24"/>
          <w:szCs w:val="24"/>
        </w:rPr>
        <w:t xml:space="preserve">Având în vedere necesitatea reglementării unor măsuri pentru exceptarea de la plata </w:t>
      </w:r>
      <w:proofErr w:type="spellStart"/>
      <w:r w:rsidRPr="000746EA">
        <w:rPr>
          <w:rFonts w:ascii="Times New Roman" w:hAnsi="Times New Roman"/>
          <w:sz w:val="24"/>
          <w:szCs w:val="24"/>
        </w:rPr>
        <w:t>ecotaxei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a p</w:t>
      </w:r>
      <w:r w:rsidRPr="000746EA">
        <w:rPr>
          <w:rFonts w:ascii="Times New Roman" w:hAnsi="Times New Roman"/>
          <w:sz w:val="24"/>
          <w:szCs w:val="24"/>
        </w:rPr>
        <w:t xml:space="preserve">ungilor destinate uzului casnic, care nu se încadrează în categoria ambalajelor de desfacere pentru care se datorează </w:t>
      </w:r>
      <w:proofErr w:type="spellStart"/>
      <w:r w:rsidRPr="000746EA">
        <w:rPr>
          <w:rFonts w:ascii="Times New Roman" w:hAnsi="Times New Roman"/>
          <w:sz w:val="24"/>
          <w:szCs w:val="24"/>
        </w:rPr>
        <w:t>ecotaxa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, precum și aplicarea unor sancțiuni operatorilor economici pentru neîndeplinirea obligației de evidențiere a </w:t>
      </w:r>
      <w:proofErr w:type="spellStart"/>
      <w:r w:rsidRPr="000746EA">
        <w:rPr>
          <w:rFonts w:ascii="Times New Roman" w:hAnsi="Times New Roman"/>
          <w:sz w:val="24"/>
          <w:szCs w:val="24"/>
        </w:rPr>
        <w:t>ecotaxei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pe documente</w:t>
      </w:r>
      <w:r w:rsidRPr="000746EA">
        <w:rPr>
          <w:rFonts w:ascii="Times New Roman" w:hAnsi="Times New Roman"/>
          <w:sz w:val="24"/>
          <w:szCs w:val="24"/>
        </w:rPr>
        <w:t>le de vânzare,</w:t>
      </w:r>
    </w:p>
    <w:p w14:paraId="65BD0170" w14:textId="77777777" w:rsidR="006501D2" w:rsidRPr="000746EA" w:rsidRDefault="00596CE1">
      <w:pPr>
        <w:pStyle w:val="NormalWeb"/>
        <w:rPr>
          <w:rFonts w:ascii="Times New Roman" w:hAnsi="Times New Roman"/>
          <w:sz w:val="24"/>
          <w:szCs w:val="24"/>
        </w:rPr>
      </w:pPr>
      <w:r w:rsidRPr="000746EA">
        <w:rPr>
          <w:rFonts w:ascii="Times New Roman" w:hAnsi="Times New Roman"/>
          <w:sz w:val="24"/>
          <w:szCs w:val="24"/>
        </w:rPr>
        <w:tab/>
      </w:r>
      <w:r w:rsidRPr="000746EA">
        <w:rPr>
          <w:rFonts w:ascii="Times New Roman" w:hAnsi="Times New Roman"/>
          <w:sz w:val="24"/>
          <w:szCs w:val="24"/>
        </w:rPr>
        <w:t xml:space="preserve">Întrucât este necesară corelarea valorii contribuției pentru echipamentele electrice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electronice prevăzute la categoria 5 din anexa nr. 1 la </w:t>
      </w:r>
      <w:proofErr w:type="spellStart"/>
      <w:r w:rsidRPr="000746EA">
        <w:rPr>
          <w:rFonts w:ascii="Times New Roman" w:hAnsi="Times New Roman"/>
          <w:sz w:val="24"/>
          <w:szCs w:val="24"/>
        </w:rPr>
        <w:t>Ordonanţa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746EA">
        <w:rPr>
          <w:rFonts w:ascii="Times New Roman" w:hAnsi="Times New Roman"/>
          <w:sz w:val="24"/>
          <w:szCs w:val="24"/>
        </w:rPr>
        <w:t>urgenţă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a Guvernului nr. 5/2015 privind </w:t>
      </w:r>
      <w:proofErr w:type="spellStart"/>
      <w:r w:rsidRPr="000746EA">
        <w:rPr>
          <w:rFonts w:ascii="Times New Roman" w:hAnsi="Times New Roman"/>
          <w:sz w:val="24"/>
          <w:szCs w:val="24"/>
        </w:rPr>
        <w:t>deşeurile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de echipamente electrice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electronice, cu modif</w:t>
      </w:r>
      <w:r w:rsidRPr="000746EA">
        <w:rPr>
          <w:rFonts w:ascii="Times New Roman" w:hAnsi="Times New Roman"/>
          <w:sz w:val="24"/>
          <w:szCs w:val="24"/>
        </w:rPr>
        <w:t xml:space="preserve">icările și completările ulterioare, respectiv  a celor prevăzute la categoria 3 din anexa nr. 2 la </w:t>
      </w:r>
      <w:proofErr w:type="spellStart"/>
      <w:r w:rsidRPr="000746EA">
        <w:rPr>
          <w:rFonts w:ascii="Times New Roman" w:hAnsi="Times New Roman"/>
          <w:sz w:val="24"/>
          <w:szCs w:val="24"/>
        </w:rPr>
        <w:t>Ordonanţa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746EA">
        <w:rPr>
          <w:rFonts w:ascii="Times New Roman" w:hAnsi="Times New Roman"/>
          <w:sz w:val="24"/>
          <w:szCs w:val="24"/>
        </w:rPr>
        <w:t>urgenţă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a Guvernului nr. 5/2015 privind </w:t>
      </w:r>
      <w:proofErr w:type="spellStart"/>
      <w:r w:rsidRPr="000746EA">
        <w:rPr>
          <w:rFonts w:ascii="Times New Roman" w:hAnsi="Times New Roman"/>
          <w:sz w:val="24"/>
          <w:szCs w:val="24"/>
        </w:rPr>
        <w:t>deşeurile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de echipamente electrice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electronice, cu modificările și completările ulterioare, cu nivelu</w:t>
      </w:r>
      <w:r w:rsidRPr="000746EA">
        <w:rPr>
          <w:rFonts w:ascii="Times New Roman" w:hAnsi="Times New Roman"/>
          <w:sz w:val="24"/>
          <w:szCs w:val="24"/>
        </w:rPr>
        <w:t>l costurilor de colectare a produselor încadrate în această categorie, în vederea îndeplinirii ratelor de colectare prevăzute în Directiva 2012/19/UE a Parlamentului European și a Consiliului din 4 iulie 2012 privind deșeurile de echipamente electrice și e</w:t>
      </w:r>
      <w:r w:rsidRPr="000746EA">
        <w:rPr>
          <w:rFonts w:ascii="Times New Roman" w:hAnsi="Times New Roman"/>
          <w:sz w:val="24"/>
          <w:szCs w:val="24"/>
        </w:rPr>
        <w:t xml:space="preserve">lectronice /(DEEE) și transpuse în </w:t>
      </w:r>
      <w:proofErr w:type="spellStart"/>
      <w:r w:rsidRPr="000746EA">
        <w:rPr>
          <w:rFonts w:ascii="Times New Roman" w:hAnsi="Times New Roman"/>
          <w:sz w:val="24"/>
          <w:szCs w:val="24"/>
        </w:rPr>
        <w:t>legislaţia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EA">
        <w:rPr>
          <w:rFonts w:ascii="Times New Roman" w:hAnsi="Times New Roman"/>
          <w:sz w:val="24"/>
          <w:szCs w:val="24"/>
        </w:rPr>
        <w:t>naţională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prin Ordonanța de urgență a Guvernului nr. 5/2015 privind </w:t>
      </w:r>
      <w:proofErr w:type="spellStart"/>
      <w:r w:rsidRPr="000746EA">
        <w:rPr>
          <w:rFonts w:ascii="Times New Roman" w:hAnsi="Times New Roman"/>
          <w:sz w:val="24"/>
          <w:szCs w:val="24"/>
        </w:rPr>
        <w:t>deşeurile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de echipamente electrice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electronice, cu modificările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completările ulterioare, </w:t>
      </w:r>
    </w:p>
    <w:p w14:paraId="1EED0034" w14:textId="77777777" w:rsidR="006501D2" w:rsidRPr="000746EA" w:rsidRDefault="00596CE1">
      <w:pPr>
        <w:pStyle w:val="NormalWeb"/>
        <w:ind w:firstLine="708"/>
        <w:rPr>
          <w:rFonts w:ascii="Times New Roman" w:hAnsi="Times New Roman"/>
          <w:color w:val="auto"/>
          <w:sz w:val="24"/>
          <w:szCs w:val="24"/>
        </w:rPr>
      </w:pPr>
      <w:r w:rsidRPr="000746EA">
        <w:rPr>
          <w:rFonts w:ascii="Times New Roman" w:hAnsi="Times New Roman"/>
          <w:sz w:val="24"/>
          <w:szCs w:val="24"/>
        </w:rPr>
        <w:t>Luând în considerare faptul că, potrivit preve</w:t>
      </w:r>
      <w:r w:rsidRPr="000746EA">
        <w:rPr>
          <w:rFonts w:ascii="Times New Roman" w:hAnsi="Times New Roman"/>
          <w:sz w:val="24"/>
          <w:szCs w:val="24"/>
        </w:rPr>
        <w:t>derilor art. 16 alin. (9) lit. i) din Legea nr. 249/2015 privind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modalitatea de gestionare a ambalajelor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şi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a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deşeurilor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de ambalaje</w:t>
      </w:r>
      <w:r w:rsidRPr="000746EA">
        <w:rPr>
          <w:rFonts w:ascii="Times New Roman" w:hAnsi="Times New Roman"/>
          <w:sz w:val="24"/>
          <w:szCs w:val="24"/>
        </w:rPr>
        <w:t xml:space="preserve">, cu modificările și completările ulterioare, </w:t>
      </w:r>
      <w:proofErr w:type="spellStart"/>
      <w:r w:rsidRPr="000746EA">
        <w:rPr>
          <w:rFonts w:ascii="Times New Roman" w:hAnsi="Times New Roman"/>
          <w:sz w:val="24"/>
          <w:szCs w:val="24"/>
        </w:rPr>
        <w:t>organizaţiile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autorizate să implementeze </w:t>
      </w:r>
      <w:proofErr w:type="spellStart"/>
      <w:r w:rsidRPr="000746EA">
        <w:rPr>
          <w:rFonts w:ascii="Times New Roman" w:hAnsi="Times New Roman"/>
          <w:sz w:val="24"/>
          <w:szCs w:val="24"/>
        </w:rPr>
        <w:t>obligaţiile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privind răspunderea extin</w:t>
      </w:r>
      <w:r w:rsidRPr="000746EA">
        <w:rPr>
          <w:rFonts w:ascii="Times New Roman" w:hAnsi="Times New Roman"/>
          <w:sz w:val="24"/>
          <w:szCs w:val="24"/>
        </w:rPr>
        <w:t xml:space="preserve">să a producătorului trebuie 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să îndeplinească cel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puţin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obiectivele prevăzute în anexa nr. 5 la lege, aplicate la întreaga cantitate de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deşeuri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de ambalaje rezultate de la ambalajele preluate pe bază de contract</w:t>
      </w:r>
      <w:r w:rsidRPr="000746EA">
        <w:rPr>
          <w:rFonts w:ascii="Times New Roman" w:hAnsi="Times New Roman"/>
          <w:color w:val="auto"/>
          <w:sz w:val="24"/>
          <w:szCs w:val="24"/>
        </w:rPr>
        <w:t xml:space="preserve">,           </w:t>
      </w:r>
    </w:p>
    <w:p w14:paraId="052D8E8E" w14:textId="77777777" w:rsidR="006501D2" w:rsidRPr="000746EA" w:rsidRDefault="00596CE1">
      <w:pPr>
        <w:pStyle w:val="NormalWeb"/>
        <w:ind w:firstLine="708"/>
        <w:rPr>
          <w:rFonts w:ascii="Times New Roman" w:hAnsi="Times New Roman"/>
          <w:sz w:val="24"/>
          <w:szCs w:val="24"/>
        </w:rPr>
      </w:pPr>
      <w:r w:rsidRPr="000746EA">
        <w:rPr>
          <w:rFonts w:ascii="Times New Roman" w:hAnsi="Times New Roman"/>
          <w:sz w:val="24"/>
          <w:szCs w:val="24"/>
        </w:rPr>
        <w:t>Ținând cont de necesitatea instit</w:t>
      </w:r>
      <w:r w:rsidRPr="000746EA">
        <w:rPr>
          <w:rFonts w:ascii="Times New Roman" w:hAnsi="Times New Roman"/>
          <w:sz w:val="24"/>
          <w:szCs w:val="24"/>
        </w:rPr>
        <w:t>uirii obligației de utilizare a aplicației</w:t>
      </w:r>
      <w:r w:rsidRPr="000746EA">
        <w:t xml:space="preserve"> </w:t>
      </w:r>
      <w:r w:rsidRPr="000746EA">
        <w:rPr>
          <w:rFonts w:ascii="Times New Roman" w:hAnsi="Times New Roman"/>
          <w:sz w:val="24"/>
          <w:szCs w:val="24"/>
        </w:rPr>
        <w:t xml:space="preserve">Sistemul informatic de asigurare a </w:t>
      </w:r>
      <w:proofErr w:type="spellStart"/>
      <w:r w:rsidRPr="000746EA">
        <w:rPr>
          <w:rFonts w:ascii="Times New Roman" w:hAnsi="Times New Roman"/>
          <w:sz w:val="24"/>
          <w:szCs w:val="24"/>
        </w:rPr>
        <w:t>trasabilităţii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EA">
        <w:rPr>
          <w:rFonts w:ascii="Times New Roman" w:hAnsi="Times New Roman"/>
          <w:sz w:val="24"/>
          <w:szCs w:val="24"/>
        </w:rPr>
        <w:t>deşeurilor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(SIATD) în sarcina unor noi operatori economici, precum și de aplicarea sancțiunilor corelative în sarcina operatorilor economici care trebuie să utiliz</w:t>
      </w:r>
      <w:r w:rsidRPr="000746EA">
        <w:rPr>
          <w:rFonts w:ascii="Times New Roman" w:hAnsi="Times New Roman"/>
          <w:sz w:val="24"/>
          <w:szCs w:val="24"/>
        </w:rPr>
        <w:t xml:space="preserve">eze </w:t>
      </w:r>
      <w:proofErr w:type="spellStart"/>
      <w:r w:rsidRPr="000746EA">
        <w:rPr>
          <w:rFonts w:ascii="Times New Roman" w:hAnsi="Times New Roman"/>
          <w:sz w:val="24"/>
          <w:szCs w:val="24"/>
        </w:rPr>
        <w:t>aplicaţia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informatică SIATD, </w:t>
      </w:r>
    </w:p>
    <w:p w14:paraId="3FC291E3" w14:textId="77777777" w:rsidR="006501D2" w:rsidRPr="000746EA" w:rsidRDefault="00596C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46EA">
        <w:rPr>
          <w:rFonts w:ascii="Times New Roman" w:hAnsi="Times New Roman"/>
          <w:sz w:val="24"/>
          <w:szCs w:val="24"/>
        </w:rPr>
        <w:t xml:space="preserve">Având în vedere prevederile art. 29-31 din Ordonanța de urgență a Guvernului nr. 5/2015 privind </w:t>
      </w:r>
      <w:proofErr w:type="spellStart"/>
      <w:r w:rsidRPr="000746EA">
        <w:rPr>
          <w:rFonts w:ascii="Times New Roman" w:hAnsi="Times New Roman"/>
          <w:sz w:val="24"/>
          <w:szCs w:val="24"/>
        </w:rPr>
        <w:t>deşeurile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de echipamente electrice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electronice, cu modificările și completările ulterioare, cu privire la obligația producă</w:t>
      </w:r>
      <w:r w:rsidRPr="000746EA">
        <w:rPr>
          <w:rFonts w:ascii="Times New Roman" w:hAnsi="Times New Roman"/>
          <w:sz w:val="24"/>
          <w:szCs w:val="24"/>
        </w:rPr>
        <w:t xml:space="preserve">torilor de echipamente electrice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electronice (EEE) și a </w:t>
      </w:r>
      <w:proofErr w:type="spellStart"/>
      <w:r w:rsidRPr="000746EA">
        <w:rPr>
          <w:rFonts w:ascii="Times New Roman" w:hAnsi="Times New Roman"/>
          <w:sz w:val="24"/>
          <w:szCs w:val="24"/>
        </w:rPr>
        <w:t>organizaţiilor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 colective care </w:t>
      </w:r>
      <w:proofErr w:type="spellStart"/>
      <w:r w:rsidRPr="000746EA">
        <w:rPr>
          <w:rFonts w:ascii="Times New Roman" w:hAnsi="Times New Roman"/>
          <w:sz w:val="24"/>
          <w:szCs w:val="24"/>
        </w:rPr>
        <w:t>acţionează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în numele producătorilor, de a asigura o </w:t>
      </w:r>
      <w:proofErr w:type="spellStart"/>
      <w:r w:rsidRPr="000746EA">
        <w:rPr>
          <w:rFonts w:ascii="Times New Roman" w:hAnsi="Times New Roman"/>
          <w:sz w:val="24"/>
          <w:szCs w:val="24"/>
        </w:rPr>
        <w:t>garanţie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la introducerea unui EEE pe </w:t>
      </w:r>
      <w:proofErr w:type="spellStart"/>
      <w:r w:rsidRPr="000746EA">
        <w:rPr>
          <w:rFonts w:ascii="Times New Roman" w:hAnsi="Times New Roman"/>
          <w:sz w:val="24"/>
          <w:szCs w:val="24"/>
        </w:rPr>
        <w:t>piaţă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, care să demonstreze că va fi </w:t>
      </w:r>
      <w:proofErr w:type="spellStart"/>
      <w:r w:rsidRPr="000746EA">
        <w:rPr>
          <w:rFonts w:ascii="Times New Roman" w:hAnsi="Times New Roman"/>
          <w:sz w:val="24"/>
          <w:szCs w:val="24"/>
        </w:rPr>
        <w:t>finanţată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gestionarea tuturor deșeurilor </w:t>
      </w:r>
      <w:r w:rsidRPr="000746EA">
        <w:rPr>
          <w:rFonts w:ascii="Times New Roman" w:hAnsi="Times New Roman"/>
          <w:sz w:val="24"/>
          <w:szCs w:val="24"/>
        </w:rPr>
        <w:t xml:space="preserve">de echipamente electrice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electronice (DEEE) provenite de la EEE respective,</w:t>
      </w:r>
    </w:p>
    <w:p w14:paraId="26638310" w14:textId="77777777" w:rsidR="006501D2" w:rsidRPr="000746EA" w:rsidRDefault="00596C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46EA">
        <w:rPr>
          <w:rFonts w:ascii="Times New Roman" w:hAnsi="Times New Roman"/>
          <w:sz w:val="24"/>
          <w:szCs w:val="24"/>
        </w:rPr>
        <w:t xml:space="preserve">Având în vedere prevederile art. 16 alin. (8) lit. e) din Legea nr. 249/2015 privind modalitatea de gestionare a ambalajelor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746EA">
        <w:rPr>
          <w:rFonts w:ascii="Times New Roman" w:hAnsi="Times New Roman"/>
          <w:sz w:val="24"/>
          <w:szCs w:val="24"/>
        </w:rPr>
        <w:t>deşeurilor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de ambalaje, cu modificările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completările ulterioare, potrivit </w:t>
      </w:r>
      <w:r w:rsidRPr="000746EA">
        <w:rPr>
          <w:rFonts w:ascii="Times New Roman" w:hAnsi="Times New Roman"/>
          <w:sz w:val="24"/>
          <w:szCs w:val="24"/>
        </w:rPr>
        <w:lastRenderedPageBreak/>
        <w:t xml:space="preserve">cărora, la autorizare, </w:t>
      </w:r>
      <w:proofErr w:type="spellStart"/>
      <w:r w:rsidRPr="000746EA">
        <w:rPr>
          <w:rFonts w:ascii="Times New Roman" w:hAnsi="Times New Roman"/>
          <w:sz w:val="24"/>
          <w:szCs w:val="24"/>
        </w:rPr>
        <w:t>organizaţia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care implement</w:t>
      </w:r>
      <w:r w:rsidRPr="000746EA">
        <w:rPr>
          <w:rFonts w:ascii="Times New Roman" w:hAnsi="Times New Roman"/>
          <w:sz w:val="24"/>
          <w:szCs w:val="24"/>
        </w:rPr>
        <w:t xml:space="preserve">ează </w:t>
      </w:r>
      <w:proofErr w:type="spellStart"/>
      <w:r w:rsidRPr="000746EA">
        <w:rPr>
          <w:rFonts w:ascii="Times New Roman" w:hAnsi="Times New Roman"/>
          <w:sz w:val="24"/>
          <w:szCs w:val="24"/>
        </w:rPr>
        <w:t>obligaţiile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privind răspunderea extinsă a producătorului trebuie să constituie o </w:t>
      </w:r>
      <w:proofErr w:type="spellStart"/>
      <w:r w:rsidRPr="000746EA">
        <w:rPr>
          <w:rFonts w:ascii="Times New Roman" w:hAnsi="Times New Roman"/>
          <w:sz w:val="24"/>
          <w:szCs w:val="24"/>
        </w:rPr>
        <w:t>garanţie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în cuantum de două milioane lei în favoarea </w:t>
      </w:r>
      <w:proofErr w:type="spellStart"/>
      <w:r w:rsidRPr="000746EA">
        <w:rPr>
          <w:rFonts w:ascii="Times New Roman" w:hAnsi="Times New Roman"/>
          <w:sz w:val="24"/>
          <w:szCs w:val="24"/>
        </w:rPr>
        <w:t>Administraţiei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Fondului pentru Mediu, sub forma unui depozit în numerar sau a unei scrisori de </w:t>
      </w:r>
      <w:proofErr w:type="spellStart"/>
      <w:r w:rsidRPr="000746EA">
        <w:rPr>
          <w:rFonts w:ascii="Times New Roman" w:hAnsi="Times New Roman"/>
          <w:sz w:val="24"/>
          <w:szCs w:val="24"/>
        </w:rPr>
        <w:t>garanţie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bancară sau a</w:t>
      </w:r>
      <w:r w:rsidRPr="000746EA">
        <w:rPr>
          <w:rFonts w:ascii="Times New Roman" w:hAnsi="Times New Roman"/>
          <w:sz w:val="24"/>
          <w:szCs w:val="24"/>
        </w:rPr>
        <w:t xml:space="preserve">lt instrument de garantare emis de către o societate bancară, valabilă pentru întreaga perioadă de autorizare, cu scopul garantării </w:t>
      </w:r>
      <w:proofErr w:type="spellStart"/>
      <w:r w:rsidRPr="000746EA">
        <w:rPr>
          <w:rFonts w:ascii="Times New Roman" w:hAnsi="Times New Roman"/>
          <w:sz w:val="24"/>
          <w:szCs w:val="24"/>
        </w:rPr>
        <w:t>obligaţiilor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fiscale prevăzute la art. 9 alin. (1) lit. v) din </w:t>
      </w:r>
      <w:proofErr w:type="spellStart"/>
      <w:r w:rsidRPr="000746EA">
        <w:rPr>
          <w:rFonts w:ascii="Times New Roman" w:hAnsi="Times New Roman"/>
          <w:sz w:val="24"/>
          <w:szCs w:val="24"/>
        </w:rPr>
        <w:t>Ordonanţa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746EA">
        <w:rPr>
          <w:rFonts w:ascii="Times New Roman" w:hAnsi="Times New Roman"/>
          <w:sz w:val="24"/>
          <w:szCs w:val="24"/>
        </w:rPr>
        <w:t>urgenţă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a Guvernului nr. 196/2005 privind Fondul</w:t>
      </w:r>
      <w:r w:rsidRPr="000746EA">
        <w:rPr>
          <w:rFonts w:ascii="Times New Roman" w:hAnsi="Times New Roman"/>
          <w:sz w:val="24"/>
          <w:szCs w:val="24"/>
        </w:rPr>
        <w:t xml:space="preserve"> pentru mediu, cu modificările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completările ulterioare, aprobată cu modificări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completări prin Legea nr. 105/2006, cu modificările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completările ulterioare, fiind necesară reglementarea modului de gestionare a garanției astfel constituită,</w:t>
      </w:r>
    </w:p>
    <w:p w14:paraId="52A7CF3C" w14:textId="77777777" w:rsidR="006501D2" w:rsidRPr="000746EA" w:rsidRDefault="00596CE1">
      <w:pPr>
        <w:pStyle w:val="NormalWeb"/>
        <w:ind w:firstLine="708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Luând în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considerare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obligaţia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României, în calitate de stat membru al Uniunii Europene, de a asigura transpunerea Directivei (UE) 2018/850 a Parlamentului European și a Consiliului din 30 mai 2018 de modificare a Directivei 2000/53/CE privind depozitele de deșeur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i (publicată în JOUE, seria L nr. 150, din 14.06.2018, p. 100-108), în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legislaţia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naţională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,</w:t>
      </w:r>
    </w:p>
    <w:p w14:paraId="0AC60326" w14:textId="77777777" w:rsidR="006501D2" w:rsidRPr="000746EA" w:rsidRDefault="00596CE1">
      <w:pPr>
        <w:pStyle w:val="NormalWeb"/>
        <w:ind w:firstLine="708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0746EA">
        <w:rPr>
          <w:rFonts w:ascii="Times New Roman" w:hAnsi="Times New Roman"/>
          <w:sz w:val="24"/>
          <w:szCs w:val="24"/>
        </w:rPr>
        <w:t xml:space="preserve">Având în vedere prevederile art. 13, art. 14 și ale art. 40 din Ordonanța Guvernului nr. 2/2021 privind depozitarea deșeurilor, </w:t>
      </w:r>
    </w:p>
    <w:p w14:paraId="69736DD1" w14:textId="77777777" w:rsidR="006501D2" w:rsidRPr="000746EA" w:rsidRDefault="00596CE1">
      <w:pPr>
        <w:pStyle w:val="NormalWeb"/>
        <w:ind w:firstLine="708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Având în vedere prevederile art. 6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alin. (1</w:t>
      </w:r>
      <w:r w:rsidRPr="000746EA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1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)</w:t>
      </w:r>
      <w:r w:rsidRPr="000746EA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 xml:space="preserve"> 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din Hotărârea Guvernului nr. 788/2007 privind stabilirea unor măsuri pentru aplicarea Regulamentului Parlamentului European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şi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al Consiliului (CE) nr. 1.013/2006 privind transferul de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deşeuri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, cu modificările și completările ulterioare, prin ca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re se desemnează Administrația Fondului pentru Mediu, aflată sub</w:t>
      </w:r>
      <w:r w:rsidRPr="000746E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coordonarea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autorităţii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publice centrale pentru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protecţia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mediului, ca fiind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instituţie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publică responsabilă cu gestionarea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informaţiilor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privind transferul de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deşeuri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,</w:t>
      </w:r>
    </w:p>
    <w:p w14:paraId="0C48E0CB" w14:textId="77777777" w:rsidR="006501D2" w:rsidRPr="000746EA" w:rsidRDefault="00596CE1">
      <w:pPr>
        <w:pStyle w:val="NormalWeb"/>
        <w:ind w:firstLine="708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Având în vedere contex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tul actual, în care la nivel european se pune un accent deosebit pe debirocratizare, simplificare legislativă și digitalizare, </w:t>
      </w:r>
    </w:p>
    <w:p w14:paraId="62E47481" w14:textId="2EF16467" w:rsidR="006501D2" w:rsidRPr="000746EA" w:rsidRDefault="00596CE1">
      <w:pPr>
        <w:pStyle w:val="NormalWeb"/>
        <w:ind w:firstLine="708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Având în vedere faptul că Admin</w:t>
      </w:r>
      <w:r w:rsid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i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strația Fondului pentru Mediu va implementa două programe de finanțare prevăzute în cadrul Planul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ui</w:t>
      </w:r>
      <w:r w:rsidR="005945A0"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Național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de Redresare și Reziliență (PNRR), respectiv Programul „Prima conectare”, prevăzut la Capitolul Pilonul I, Tranziție verde, Componenta C1: Managementul apei, punctul I3. Sprijinirea conectării populației cu venituri mici la rețelele de alimenta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re cu apă și canalizare existente, prin care va fi asigurată branșarea/racordarea gospodăriilor vulnerabile la sistemele de alimentare cu apă și de canalizare și Programul de finanțare a instalațiilor reciclare a deșeurilor, prevăzut la Capitolul Pilonul I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, Tranziție verde, Componenta C3. Managementul deșeurilor,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Subinvestiția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I1.d. Construirea instalațiilor de reciclare a deșeurilor pentru a îndeplini obiectivele de reciclare din pachetul de economie circulară, prin care va fi asigurată susținerea financia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ră a operatorilor economici în vederea creșterii capacităților de reciclare a deșeurilor la nivel național,</w:t>
      </w:r>
    </w:p>
    <w:p w14:paraId="715671DF" w14:textId="2F264A76" w:rsidR="006501D2" w:rsidRPr="000746EA" w:rsidRDefault="00596CE1">
      <w:pPr>
        <w:pStyle w:val="NormalWeb"/>
        <w:ind w:firstLine="708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Luând în considerare Legea nr. 144/2019 pentru modificarea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şi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completarea Legii nr. 255/2010 privind exproprierea pentru cauză de utilitate publică,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necesară realizării unor obiective de interes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naţional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,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judeţean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şi</w:t>
      </w:r>
      <w:proofErr w:type="spellEnd"/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local, potrivit căreia sunt declarate de utilitate publică inclusiv lucrările de închidere și ecologizare a depozitelor de deșeuri, efectuate de stat prin autoritățile publice centrale, c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a urmare a stabilirii în sarcina acestuia de măsuri, în baza unor hotărâri ale Curții de Justiție a Uniunii Europene (art. 1 alin. (1) și art. 2 alin. (1), lit. r), iar expropriatorul 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pentru 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lucrările de închidere și ecologizare a depozitelor de de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ș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euri este Ministerul Mediului</w:t>
      </w:r>
      <w:r w:rsid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, Apelor și Pădurilor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prin Administrația Fondului pentru Mediu, în contextul Hotărârii Curții de Justiție a Uniunii Europene, pronunțată în data de 18.10.2018, prin care s-a constatat că România nu și-a îndeplinit obligațiile care îi revin în teme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iul art. 14 lit. (b) coroborat cu art. 13 din Directiva 1999/31, de închidere a depozitelor de deșeuri neconforme, iar  gestionarea închiderii acestor depozite revine personalului Administrației Fondului</w:t>
      </w:r>
      <w:r w:rsid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pentru Mediu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,</w:t>
      </w:r>
    </w:p>
    <w:p w14:paraId="1C5B5F44" w14:textId="737D2359" w:rsidR="006501D2" w:rsidRPr="000746EA" w:rsidRDefault="00596CE1">
      <w:pPr>
        <w:pStyle w:val="NormalWeb"/>
        <w:ind w:firstLine="708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Având în vedere complexitatea activităților desfășu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rate în cadrul instituției, gestionarea unui volum mare de activități aferente implementării dezideratelor, atât de colectare a veniturilor, cât și de gestionare a proiectelor, care contribuie atât din punct de vedere legislativ, cât și al sănătății public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e, la punerea în concordanță a practicilor europene cu privire la protecția mediului, fiind necesară salarizarea corespunzătoare a personalului din cadrul instituției, precum și majorarea numărului personalului instituției, </w:t>
      </w:r>
    </w:p>
    <w:p w14:paraId="22C20AC4" w14:textId="780C13E9" w:rsidR="005945A0" w:rsidRPr="000746EA" w:rsidRDefault="005945A0">
      <w:pPr>
        <w:pStyle w:val="NormalWeb"/>
        <w:ind w:firstLine="708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Ținând cont de faptul că în lipsa personalului care ar trebui să desfășoare activități de colectare a sumelor ce se constituie venit la Fondul pentru mediu, pe de o parte, dar și a celui însărcinat cu realizarea activităților ce țin de gestionarea proiectelor</w:t>
      </w:r>
      <w:r w:rsidR="00DF1122"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și programelor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finanțate din Fondul pentru mediu sau din</w:t>
      </w:r>
      <w:r w:rsidRPr="000746EA">
        <w:t xml:space="preserve"> </w:t>
      </w:r>
      <w:r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Planul Național de Redresare și Reziliență, pe de altă parte</w:t>
      </w:r>
      <w:r w:rsidR="008C25CB"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, se prejudiciază în mod grav și iremediabil atingerea țintelor de mediu pe care România și le-a asumat </w:t>
      </w:r>
      <w:r w:rsidR="00BC6CD3"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prin cadrul legislativ specific </w:t>
      </w:r>
      <w:r w:rsidR="003A08CF" w:rsidRPr="000746EA">
        <w:rPr>
          <w:rFonts w:ascii="Times New Roman" w:eastAsia="Calibri" w:hAnsi="Times New Roman"/>
          <w:color w:val="auto"/>
          <w:sz w:val="24"/>
          <w:szCs w:val="24"/>
          <w:lang w:eastAsia="en-US"/>
        </w:rPr>
        <w:t>componentei de mediu,</w:t>
      </w:r>
    </w:p>
    <w:p w14:paraId="786272DD" w14:textId="77777777" w:rsidR="006501D2" w:rsidRPr="000746EA" w:rsidRDefault="006501D2">
      <w:pPr>
        <w:pStyle w:val="NormalWeb"/>
        <w:ind w:firstLine="708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14:paraId="73DD8D35" w14:textId="77777777" w:rsidR="006501D2" w:rsidRPr="000746EA" w:rsidRDefault="00596C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46EA">
        <w:rPr>
          <w:rFonts w:ascii="Times New Roman" w:hAnsi="Times New Roman"/>
          <w:sz w:val="24"/>
          <w:szCs w:val="24"/>
        </w:rPr>
        <w:t xml:space="preserve">Deoarece aceste elemente vizează interesul public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constituie o </w:t>
      </w:r>
      <w:proofErr w:type="spellStart"/>
      <w:r w:rsidRPr="000746EA">
        <w:rPr>
          <w:rFonts w:ascii="Times New Roman" w:hAnsi="Times New Roman"/>
          <w:sz w:val="24"/>
          <w:szCs w:val="24"/>
        </w:rPr>
        <w:t>situaţie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746EA">
        <w:rPr>
          <w:rFonts w:ascii="Times New Roman" w:hAnsi="Times New Roman"/>
          <w:sz w:val="24"/>
          <w:szCs w:val="24"/>
        </w:rPr>
        <w:t>urgenţă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extraordinară a cărei reglementare nu poate fi amânată,</w:t>
      </w:r>
    </w:p>
    <w:p w14:paraId="157F0D16" w14:textId="77777777" w:rsidR="006501D2" w:rsidRPr="000746EA" w:rsidRDefault="006501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25CEF2" w14:textId="77777777" w:rsidR="006501D2" w:rsidRPr="000746EA" w:rsidRDefault="00596C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46EA">
        <w:rPr>
          <w:rFonts w:ascii="Times New Roman" w:hAnsi="Times New Roman"/>
          <w:sz w:val="24"/>
          <w:szCs w:val="24"/>
        </w:rPr>
        <w:t xml:space="preserve">În temeiul art. 115 alin.(4) din Constituția României, republicată, </w:t>
      </w:r>
    </w:p>
    <w:p w14:paraId="3380FE78" w14:textId="77777777" w:rsidR="006501D2" w:rsidRPr="000746EA" w:rsidRDefault="006501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6AF124A" w14:textId="77777777" w:rsidR="006501D2" w:rsidRPr="000746EA" w:rsidRDefault="00596CE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746EA">
        <w:rPr>
          <w:rFonts w:ascii="Times New Roman" w:hAnsi="Times New Roman"/>
          <w:b/>
          <w:sz w:val="24"/>
          <w:szCs w:val="24"/>
        </w:rPr>
        <w:t xml:space="preserve">Guvernul României </w:t>
      </w:r>
      <w:r w:rsidRPr="000746EA">
        <w:rPr>
          <w:rFonts w:ascii="Times New Roman" w:hAnsi="Times New Roman"/>
          <w:sz w:val="24"/>
          <w:szCs w:val="24"/>
        </w:rPr>
        <w:t>adoptă prezenta ordona</w:t>
      </w:r>
      <w:r w:rsidRPr="000746EA">
        <w:rPr>
          <w:rFonts w:ascii="Times New Roman" w:hAnsi="Times New Roman"/>
          <w:sz w:val="24"/>
          <w:szCs w:val="24"/>
        </w:rPr>
        <w:t>nță de urgență:</w:t>
      </w:r>
      <w:r w:rsidRPr="000746E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55D92C6" w14:textId="77777777" w:rsidR="006501D2" w:rsidRPr="000746EA" w:rsidRDefault="006501D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D4935D" w14:textId="7CCB374D" w:rsidR="006501D2" w:rsidRPr="000746EA" w:rsidRDefault="00596C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bookmarkStart w:id="0" w:name="_Hlk6929385"/>
      <w:r w:rsidRPr="000746EA">
        <w:rPr>
          <w:rFonts w:ascii="Times New Roman" w:hAnsi="Times New Roman"/>
          <w:b/>
          <w:bCs/>
          <w:sz w:val="24"/>
          <w:szCs w:val="24"/>
        </w:rPr>
        <w:t>Art</w:t>
      </w:r>
      <w:bookmarkStart w:id="1" w:name="do|arI|pt2|pa52"/>
      <w:bookmarkStart w:id="2" w:name="do|ar1|pa1"/>
      <w:bookmarkEnd w:id="0"/>
      <w:bookmarkEnd w:id="1"/>
      <w:bookmarkEnd w:id="2"/>
      <w:r w:rsidRPr="000746EA">
        <w:rPr>
          <w:rFonts w:ascii="Times New Roman" w:hAnsi="Times New Roman"/>
          <w:b/>
          <w:bCs/>
          <w:sz w:val="24"/>
          <w:szCs w:val="24"/>
        </w:rPr>
        <w:t xml:space="preserve">. I </w:t>
      </w:r>
      <w:r w:rsidRPr="000746EA">
        <w:rPr>
          <w:rFonts w:ascii="Times New Roman" w:hAnsi="Times New Roman"/>
          <w:b/>
          <w:sz w:val="24"/>
          <w:szCs w:val="24"/>
          <w:lang w:eastAsia="ro-RO"/>
        </w:rPr>
        <w:t xml:space="preserve">Ordonanța de urgență a Guvernului nr.196/2005 privind Fondul pentru mediu, </w:t>
      </w:r>
      <w:bookmarkStart w:id="3" w:name="_Hlk6933547"/>
      <w:r w:rsidRPr="000746EA">
        <w:rPr>
          <w:rFonts w:ascii="Times New Roman" w:hAnsi="Times New Roman"/>
          <w:b/>
          <w:sz w:val="24"/>
          <w:szCs w:val="24"/>
          <w:lang w:eastAsia="ro-RO"/>
        </w:rPr>
        <w:t>publicată în Monitorul Oficial al Rom</w:t>
      </w:r>
      <w:r w:rsidR="000746EA">
        <w:rPr>
          <w:rFonts w:ascii="Times New Roman" w:hAnsi="Times New Roman"/>
          <w:b/>
          <w:sz w:val="24"/>
          <w:szCs w:val="24"/>
          <w:lang w:eastAsia="ro-RO"/>
        </w:rPr>
        <w:t>â</w:t>
      </w:r>
      <w:r w:rsidRPr="000746EA">
        <w:rPr>
          <w:rFonts w:ascii="Times New Roman" w:hAnsi="Times New Roman"/>
          <w:b/>
          <w:sz w:val="24"/>
          <w:szCs w:val="24"/>
          <w:lang w:eastAsia="ro-RO"/>
        </w:rPr>
        <w:t>niei, Partea I, nr. 1.193 din 30 decembrie 2005, aprobată cu modificări și completări prin Legea nr. 105/2006, cu modi</w:t>
      </w:r>
      <w:r w:rsidRPr="000746EA">
        <w:rPr>
          <w:rFonts w:ascii="Times New Roman" w:hAnsi="Times New Roman"/>
          <w:b/>
          <w:sz w:val="24"/>
          <w:szCs w:val="24"/>
          <w:lang w:eastAsia="ro-RO"/>
        </w:rPr>
        <w:t>ficările și completările ulterioare, se modifică și se completează după cum urmează:</w:t>
      </w:r>
      <w:bookmarkEnd w:id="3"/>
    </w:p>
    <w:p w14:paraId="33264408" w14:textId="77777777" w:rsidR="006501D2" w:rsidRPr="000746EA" w:rsidRDefault="00650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5E0CBA4D" w14:textId="24D95321" w:rsidR="006501D2" w:rsidRPr="000746EA" w:rsidRDefault="00596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46EA">
        <w:rPr>
          <w:rFonts w:ascii="Times New Roman" w:hAnsi="Times New Roman"/>
          <w:b/>
          <w:sz w:val="24"/>
          <w:szCs w:val="24"/>
          <w:lang w:eastAsia="ro-RO"/>
        </w:rPr>
        <w:t>1.</w:t>
      </w:r>
      <w:r w:rsidR="000746EA">
        <w:rPr>
          <w:rFonts w:ascii="Times New Roman" w:eastAsia="Times New Roman" w:hAnsi="Times New Roman"/>
          <w:b/>
          <w:bCs/>
          <w:sz w:val="24"/>
          <w:szCs w:val="24"/>
        </w:rPr>
        <w:t xml:space="preserve"> La articolul 3</w:t>
      </w:r>
      <w:r w:rsidRPr="000746EA">
        <w:rPr>
          <w:rFonts w:ascii="Times New Roman" w:eastAsia="Times New Roman" w:hAnsi="Times New Roman"/>
          <w:b/>
          <w:bCs/>
          <w:sz w:val="24"/>
          <w:szCs w:val="24"/>
        </w:rPr>
        <w:t xml:space="preserve"> alineatul (3), după litera n) se introduce o nouă literă, litera o)</w:t>
      </w:r>
      <w:r w:rsidRPr="000746EA">
        <w:rPr>
          <w:rFonts w:ascii="Times New Roman" w:eastAsia="Times New Roman" w:hAnsi="Times New Roman"/>
          <w:sz w:val="24"/>
          <w:szCs w:val="24"/>
        </w:rPr>
        <w:t xml:space="preserve"> </w:t>
      </w:r>
      <w:r w:rsidRPr="000746EA">
        <w:rPr>
          <w:rFonts w:ascii="Times New Roman" w:eastAsia="Times New Roman" w:hAnsi="Times New Roman"/>
          <w:b/>
          <w:bCs/>
          <w:sz w:val="24"/>
          <w:szCs w:val="24"/>
        </w:rPr>
        <w:t>cu următorul cuprins</w:t>
      </w:r>
      <w:r w:rsidRPr="000746EA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2953FC2F" w14:textId="0155790C" w:rsidR="006501D2" w:rsidRPr="000746EA" w:rsidRDefault="00596CE1">
      <w:pPr>
        <w:spacing w:after="0" w:line="240" w:lineRule="auto"/>
        <w:ind w:right="-2"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“o) gestionează sisteme informatice care permit monitorizarea</w:t>
      </w: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tranzacțiilor cu deșeuri pe teritoriul național.</w:t>
      </w:r>
      <w:r w:rsidR="000903B9"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”</w:t>
      </w:r>
    </w:p>
    <w:p w14:paraId="15FE533F" w14:textId="77777777" w:rsidR="006501D2" w:rsidRPr="000746EA" w:rsidRDefault="006501D2">
      <w:pPr>
        <w:spacing w:after="0" w:line="240" w:lineRule="auto"/>
        <w:ind w:right="-2"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</w:p>
    <w:p w14:paraId="58CC45E4" w14:textId="77777777" w:rsidR="006501D2" w:rsidRPr="000746EA" w:rsidRDefault="00596CE1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b/>
          <w:bCs/>
          <w:iCs/>
          <w:sz w:val="24"/>
          <w:szCs w:val="24"/>
          <w:lang w:eastAsia="ro-RO"/>
        </w:rPr>
        <w:t xml:space="preserve">2. La articolul 3, după alineatul (6) se introduce un nou alineat, alineatul (7), cu următorul cuprins: </w:t>
      </w:r>
    </w:p>
    <w:p w14:paraId="2FA229E6" w14:textId="77777777" w:rsidR="006501D2" w:rsidRPr="000746EA" w:rsidRDefault="00596CE1">
      <w:pPr>
        <w:spacing w:after="0" w:line="240" w:lineRule="auto"/>
        <w:ind w:right="-2"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”(7) Administrația Fondului pentru Mediu este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agenţie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de implementare a proiectelor/structură de </w:t>
      </w: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implementare pentru obiective de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investiţii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din cadrul componentelor Planului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Naţional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de Redresare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şi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Rezilienţă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al României, în numele beneficiarilor”.</w:t>
      </w:r>
    </w:p>
    <w:p w14:paraId="7B2E2FDF" w14:textId="77777777" w:rsidR="006501D2" w:rsidRPr="000746EA" w:rsidRDefault="006501D2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o-RO"/>
        </w:rPr>
      </w:pPr>
    </w:p>
    <w:p w14:paraId="35EF7D9E" w14:textId="77777777" w:rsidR="006501D2" w:rsidRPr="000746EA" w:rsidRDefault="00596CE1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b/>
          <w:bCs/>
          <w:iCs/>
          <w:sz w:val="24"/>
          <w:szCs w:val="24"/>
          <w:lang w:eastAsia="ro-RO"/>
        </w:rPr>
        <w:t xml:space="preserve">3. La articolul 4, alineatele (6) și (7) se modifică și vor avea următorul cuprins: </w:t>
      </w:r>
    </w:p>
    <w:p w14:paraId="3FB2D6C3" w14:textId="77777777" w:rsidR="006501D2" w:rsidRPr="000746EA" w:rsidRDefault="00596CE1">
      <w:pPr>
        <w:spacing w:after="0" w:line="240" w:lineRule="auto"/>
        <w:ind w:right="-2"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”(6) Președintel</w:t>
      </w: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e Administrației Fondului pentru Mediu este ajutat în activitatea sa de doi vicepreședinți, cu rang de subsecretar de stat, numiți prin decizie a prim-ministrului, la propunerea conducătorului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autorităţii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publice centrale pentru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protecţia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mediului, precum </w:t>
      </w: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și de un secretar general, numit în condițiile legii.</w:t>
      </w:r>
    </w:p>
    <w:p w14:paraId="4AE5D1CD" w14:textId="77777777" w:rsidR="006501D2" w:rsidRPr="000746EA" w:rsidRDefault="00596CE1">
      <w:pPr>
        <w:spacing w:after="0" w:line="240" w:lineRule="auto"/>
        <w:ind w:right="-2"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(7) Președintele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Administraţiei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Fondului</w:t>
      </w:r>
      <w:bookmarkStart w:id="4" w:name="_GoBack"/>
      <w:bookmarkEnd w:id="4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poate delega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atribuţiile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sale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vicepreşedinților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secretarului general sau altor persoane cu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funcţii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de conducere din cadrul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Administraţiei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Fondului, în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condiţiil</w:t>
      </w: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e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legii. Domeniile de responsabilitate ori atribuțiile vicepreședinților și ale secretarului general se stabilesc de către președintele Administrației Fondului pentru Mediu.”</w:t>
      </w:r>
    </w:p>
    <w:p w14:paraId="6DAE92F1" w14:textId="77777777" w:rsidR="006501D2" w:rsidRPr="000746EA" w:rsidRDefault="006501D2">
      <w:pPr>
        <w:spacing w:after="0" w:line="240" w:lineRule="auto"/>
        <w:ind w:right="-2"/>
        <w:jc w:val="both"/>
        <w:rPr>
          <w:rFonts w:ascii="Times New Roman" w:eastAsia="Times New Roman" w:hAnsi="Times New Roman"/>
          <w:iCs/>
          <w:color w:val="FF0000"/>
          <w:sz w:val="24"/>
          <w:szCs w:val="24"/>
          <w:lang w:eastAsia="ro-RO"/>
        </w:rPr>
      </w:pPr>
    </w:p>
    <w:p w14:paraId="5D480FD9" w14:textId="77777777" w:rsidR="006501D2" w:rsidRPr="000746EA" w:rsidRDefault="00596CE1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b/>
          <w:bCs/>
          <w:iCs/>
          <w:sz w:val="24"/>
          <w:szCs w:val="24"/>
          <w:lang w:eastAsia="ro-RO"/>
        </w:rPr>
        <w:t>4. La articolul 4, după alineatul (8) se introduce un nou alineat, alineatul (8</w:t>
      </w:r>
      <w:r w:rsidRPr="000746EA">
        <w:rPr>
          <w:rFonts w:ascii="Times New Roman" w:eastAsia="Times New Roman" w:hAnsi="Times New Roman"/>
          <w:b/>
          <w:bCs/>
          <w:iCs/>
          <w:sz w:val="24"/>
          <w:szCs w:val="24"/>
          <w:vertAlign w:val="superscript"/>
          <w:lang w:eastAsia="ro-RO"/>
        </w:rPr>
        <w:t>1</w:t>
      </w:r>
      <w:r w:rsidRPr="000746EA">
        <w:rPr>
          <w:rFonts w:ascii="Times New Roman" w:eastAsia="Times New Roman" w:hAnsi="Times New Roman"/>
          <w:b/>
          <w:bCs/>
          <w:iCs/>
          <w:sz w:val="24"/>
          <w:szCs w:val="24"/>
          <w:lang w:eastAsia="ro-RO"/>
        </w:rPr>
        <w:t>), cu următorul cuprins:</w:t>
      </w:r>
    </w:p>
    <w:p w14:paraId="3094F20B" w14:textId="77777777" w:rsidR="006501D2" w:rsidRPr="000746EA" w:rsidRDefault="00596CE1">
      <w:pPr>
        <w:spacing w:after="0" w:line="240" w:lineRule="auto"/>
        <w:ind w:right="-2"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”(8</w:t>
      </w:r>
      <w:r w:rsidRPr="000746EA">
        <w:rPr>
          <w:rFonts w:ascii="Times New Roman" w:eastAsia="Times New Roman" w:hAnsi="Times New Roman"/>
          <w:iCs/>
          <w:sz w:val="24"/>
          <w:szCs w:val="24"/>
          <w:vertAlign w:val="superscript"/>
          <w:lang w:eastAsia="ro-RO"/>
        </w:rPr>
        <w:t>1</w:t>
      </w: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)</w:t>
      </w:r>
      <w:r w:rsidRPr="000746EA">
        <w:t xml:space="preserve"> </w:t>
      </w: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Numărul maxim de posturi pentru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Administraţia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Fondului este de 350, exclusiv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preşedintele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vicepreşedinții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și secretarul general”.</w:t>
      </w:r>
    </w:p>
    <w:p w14:paraId="5D164D49" w14:textId="77777777" w:rsidR="006501D2" w:rsidRPr="000746EA" w:rsidRDefault="006501D2">
      <w:pPr>
        <w:spacing w:after="0" w:line="240" w:lineRule="auto"/>
        <w:ind w:right="-2"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</w:p>
    <w:p w14:paraId="3B9FD9B0" w14:textId="77777777" w:rsidR="006501D2" w:rsidRPr="000746EA" w:rsidRDefault="00596CE1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b/>
          <w:bCs/>
          <w:iCs/>
          <w:sz w:val="24"/>
          <w:szCs w:val="24"/>
          <w:lang w:eastAsia="ro-RO"/>
        </w:rPr>
        <w:t>5. La articolul 4, după alineatul (9) se introduc două noi alineate, alineatele (9^1) și (9^2</w:t>
      </w:r>
      <w:r w:rsidRPr="000746EA">
        <w:rPr>
          <w:rFonts w:ascii="Times New Roman" w:eastAsia="Times New Roman" w:hAnsi="Times New Roman"/>
          <w:b/>
          <w:bCs/>
          <w:iCs/>
          <w:sz w:val="24"/>
          <w:szCs w:val="24"/>
          <w:lang w:eastAsia="ro-RO"/>
        </w:rPr>
        <w:t xml:space="preserve">), cu următorul cuprins: </w:t>
      </w:r>
    </w:p>
    <w:p w14:paraId="7E6F0B8D" w14:textId="77777777" w:rsidR="006501D2" w:rsidRPr="000746EA" w:rsidRDefault="00596CE1">
      <w:pPr>
        <w:spacing w:after="0" w:line="240" w:lineRule="auto"/>
        <w:ind w:right="-2"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„(9^1) Personalul din cadrul Administrației Fondului implicat în gestionarea Fondului pentru mediu din care se finanțează proiectele/programele de mediu, beneficiază de majorarea salariului de bază cu până la 50%, în limita alocăr</w:t>
      </w: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ii bugetare, pe perioada desfășurării activității în acest domeniu.</w:t>
      </w:r>
    </w:p>
    <w:p w14:paraId="051B1F88" w14:textId="77777777" w:rsidR="006501D2" w:rsidRPr="000746EA" w:rsidRDefault="00596CE1">
      <w:pPr>
        <w:spacing w:after="0" w:line="240" w:lineRule="auto"/>
        <w:ind w:right="-2"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(9^2) Majorarea prevăzută la alin. (9^1) se acordă în baza criteriilor stabilite prin procedură aprobată la nivelul Administrației Fondului.”</w:t>
      </w:r>
    </w:p>
    <w:p w14:paraId="7C9548E5" w14:textId="77777777" w:rsidR="006501D2" w:rsidRPr="000746EA" w:rsidRDefault="006501D2">
      <w:pPr>
        <w:spacing w:after="0" w:line="240" w:lineRule="auto"/>
        <w:ind w:right="-2"/>
        <w:jc w:val="both"/>
        <w:rPr>
          <w:rFonts w:ascii="Times New Roman" w:eastAsia="Times New Roman" w:hAnsi="Times New Roman"/>
          <w:iCs/>
          <w:color w:val="FF0000"/>
          <w:sz w:val="24"/>
          <w:szCs w:val="24"/>
          <w:lang w:eastAsia="ro-RO"/>
        </w:rPr>
      </w:pPr>
    </w:p>
    <w:p w14:paraId="061A64A4" w14:textId="77777777" w:rsidR="006501D2" w:rsidRPr="000746EA" w:rsidRDefault="00596CE1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b/>
          <w:bCs/>
          <w:iCs/>
          <w:sz w:val="24"/>
          <w:szCs w:val="24"/>
          <w:lang w:eastAsia="ro-RO"/>
        </w:rPr>
        <w:t xml:space="preserve">6. La articolul 6, alineatul (1) se modifică </w:t>
      </w:r>
      <w:r w:rsidRPr="000746EA">
        <w:rPr>
          <w:rFonts w:ascii="Times New Roman" w:eastAsia="Times New Roman" w:hAnsi="Times New Roman"/>
          <w:b/>
          <w:bCs/>
          <w:iCs/>
          <w:sz w:val="24"/>
          <w:szCs w:val="24"/>
          <w:lang w:eastAsia="ro-RO"/>
        </w:rPr>
        <w:t>și va avea următorul cuprins:</w:t>
      </w:r>
    </w:p>
    <w:p w14:paraId="3D93AD56" w14:textId="77777777" w:rsidR="006501D2" w:rsidRPr="000746EA" w:rsidRDefault="00596CE1">
      <w:pPr>
        <w:spacing w:after="0" w:line="240" w:lineRule="auto"/>
        <w:ind w:right="-2"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”(1) Din Comitetul director al Administrației Fondului fac parte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preşedintele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vicepreşedinții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secretarul general și conducătorii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direcţiilor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și ai direcțiilor generale ale acesteia.”</w:t>
      </w:r>
    </w:p>
    <w:p w14:paraId="656D9A33" w14:textId="77777777" w:rsidR="006501D2" w:rsidRPr="000746EA" w:rsidRDefault="006501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38C18E30" w14:textId="3F5B4E49" w:rsidR="006501D2" w:rsidRPr="000746EA" w:rsidRDefault="00596C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 w:rsidRPr="000746EA">
        <w:rPr>
          <w:rFonts w:ascii="Times New Roman" w:hAnsi="Times New Roman"/>
          <w:b/>
          <w:sz w:val="24"/>
          <w:szCs w:val="24"/>
          <w:lang w:eastAsia="ro-RO"/>
        </w:rPr>
        <w:t>7. La articolul 9, alineatul (1), litere</w:t>
      </w:r>
      <w:r w:rsidRPr="000746EA">
        <w:rPr>
          <w:rFonts w:ascii="Times New Roman" w:hAnsi="Times New Roman"/>
          <w:b/>
          <w:sz w:val="24"/>
          <w:szCs w:val="24"/>
          <w:lang w:eastAsia="ro-RO"/>
        </w:rPr>
        <w:t>le d), q), v) se modifică și vor avea următorul cuprins</w:t>
      </w:r>
      <w:r w:rsidRPr="000746EA">
        <w:rPr>
          <w:rFonts w:ascii="Times New Roman" w:hAnsi="Times New Roman"/>
          <w:b/>
          <w:sz w:val="24"/>
          <w:szCs w:val="24"/>
          <w:lang w:eastAsia="ro-RO"/>
        </w:rPr>
        <w:t>:</w:t>
      </w:r>
    </w:p>
    <w:p w14:paraId="7478A459" w14:textId="77777777" w:rsidR="006501D2" w:rsidRPr="000746EA" w:rsidRDefault="00596CE1">
      <w:pPr>
        <w:spacing w:after="0" w:line="240" w:lineRule="auto"/>
        <w:ind w:right="-2"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“</w:t>
      </w: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d) o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contribuţie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de 2 lei/kg, datorată pentru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diferenţa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dintre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cantităţile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de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deşeuri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de ambalaje corespunzătoare obiectivelor minime de valorificare sau incinerare în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instalaţii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de incinerare cu </w:t>
      </w: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recuperare de energie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şi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de valorificare prin reciclare prevăzute în anexa nr. 3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şi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cantităţile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de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deşeuri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de ambalaje efectiv valorificate sau incinerate în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instalaţii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de incinerare cu recuperare de energie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şi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valorificate prin reciclare, de către</w:t>
      </w: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:</w:t>
      </w:r>
    </w:p>
    <w:p w14:paraId="5345CD29" w14:textId="77777777" w:rsidR="006501D2" w:rsidRPr="000746EA" w:rsidRDefault="00596CE1">
      <w:pPr>
        <w:spacing w:after="0" w:line="240" w:lineRule="auto"/>
        <w:ind w:right="-2"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lastRenderedPageBreak/>
        <w:t>1. ope</w:t>
      </w: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ratorii economici care introduc pe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piaţa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naţională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produse ambalate</w:t>
      </w: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;</w:t>
      </w:r>
    </w:p>
    <w:p w14:paraId="37DC8E36" w14:textId="77777777" w:rsidR="006501D2" w:rsidRPr="000746EA" w:rsidRDefault="00596CE1">
      <w:pPr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2.operatorii economici care importă/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achiziţionează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intracomunitar produse ambalate pentru utilizare/consum propriu;</w:t>
      </w:r>
    </w:p>
    <w:p w14:paraId="2348922C" w14:textId="77777777" w:rsidR="006501D2" w:rsidRPr="000746EA" w:rsidRDefault="00596CE1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3.operatorii economici care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supraambalează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produse ambalate individual </w:t>
      </w: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în vederea revânzării/redistribuirii;</w:t>
      </w:r>
    </w:p>
    <w:p w14:paraId="321C72AF" w14:textId="77777777" w:rsidR="006501D2" w:rsidRPr="000746EA" w:rsidRDefault="00596CE1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4. operatorii economici care introduc pe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piaţa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naţională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ambalaje de desfacere;</w:t>
      </w:r>
    </w:p>
    <w:p w14:paraId="08686F1B" w14:textId="77777777" w:rsidR="006501D2" w:rsidRPr="000746EA" w:rsidRDefault="00596CE1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5. operatorii economici care dau spre închiriere, sub orice formă, cu titlu profesional, ambalaje;</w:t>
      </w:r>
    </w:p>
    <w:p w14:paraId="297B15E2" w14:textId="5115E52C" w:rsidR="006501D2" w:rsidRPr="000746EA" w:rsidRDefault="00550584">
      <w:pPr>
        <w:pStyle w:val="NormalWeb"/>
        <w:rPr>
          <w:rFonts w:ascii="Times New Roman" w:hAnsi="Times New Roman"/>
          <w:iCs/>
          <w:sz w:val="24"/>
          <w:szCs w:val="24"/>
        </w:rPr>
      </w:pPr>
      <w:r w:rsidRPr="000746EA">
        <w:rPr>
          <w:rFonts w:ascii="Times New Roman" w:hAnsi="Times New Roman"/>
          <w:iCs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720345FB" w14:textId="1EEBF661" w:rsidR="006501D2" w:rsidRPr="000746EA" w:rsidRDefault="00596CE1">
      <w:pPr>
        <w:spacing w:after="160" w:line="259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q)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ecotaxa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în valoare de 0,15 lei/bucată, aplicată tuturor pungilor de transport, cu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excepţia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celor fabricate din materialele ca</w:t>
      </w: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re respectă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cerinţele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SR EN 13432:2002;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ecotaxa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se încasează de la operatorii economici care introduc pe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piaţa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naţională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astfel de ambalaje de desfacere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şi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se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evidenţiază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distinct pe documentele de vânzare, iar valoarea acesteia se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afişează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la loc vizibil </w:t>
      </w: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la punctul de vânzare, în vederea informării consumatorilor finali. Sunt exceptate de la plata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ecotaxei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pungile de uz casnic introduse pe piața națională de către operatorii economici, aceștia având obligația să le inscripționeze individual cu sintagma „pu</w:t>
      </w: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ngi de uz casnic”; este interzisă comercializarea pungilor de uz casnic ca ambalaje la punctul de vânzare;</w:t>
      </w:r>
    </w:p>
    <w:p w14:paraId="05CDED1A" w14:textId="05562B41" w:rsidR="00550584" w:rsidRPr="000746EA" w:rsidRDefault="00550584">
      <w:pPr>
        <w:spacing w:after="160" w:line="259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.....................................................................................................................................................................</w:t>
      </w:r>
    </w:p>
    <w:p w14:paraId="02A0A7F2" w14:textId="77777777" w:rsidR="006501D2" w:rsidRPr="000746EA" w:rsidRDefault="00596CE1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v) o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contribuţie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de 2 lei/kg, datorată de către</w:t>
      </w: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:</w:t>
      </w:r>
    </w:p>
    <w:p w14:paraId="6857A8D5" w14:textId="77777777" w:rsidR="006501D2" w:rsidRPr="000746EA" w:rsidRDefault="0059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1. operatorii economici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autorizaţi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pentru implementarea răspunderii extinse a producătorului în domeniul ambalajelor și deșeurilor de ambalaje, plata făcându-se pentru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diferenţa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dintre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cantităţile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de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deşeuri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corespunzătoare obiectivelor anuale, stabilite d</w:t>
      </w: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e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legislaţia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în vigoare,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şi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cantităţile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efectiv valorificate, în limita garanției prevăzute la art. 16 alin. (8) lit. e) din Legea nr. 249/2015 </w:t>
      </w:r>
      <w:r w:rsidRPr="000746EA">
        <w:rPr>
          <w:rFonts w:ascii="Times New Roman" w:hAnsi="Times New Roman"/>
          <w:sz w:val="24"/>
          <w:szCs w:val="24"/>
        </w:rPr>
        <w:t xml:space="preserve">privind modalitatea de gestionare a ambalajelor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746EA">
        <w:rPr>
          <w:rFonts w:ascii="Times New Roman" w:hAnsi="Times New Roman"/>
          <w:sz w:val="24"/>
          <w:szCs w:val="24"/>
        </w:rPr>
        <w:t>deşeurilor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de ambalaje, cu modificările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completările ult</w:t>
      </w:r>
      <w:r w:rsidRPr="000746EA">
        <w:rPr>
          <w:rFonts w:ascii="Times New Roman" w:hAnsi="Times New Roman"/>
          <w:sz w:val="24"/>
          <w:szCs w:val="24"/>
        </w:rPr>
        <w:t>erioare.</w:t>
      </w:r>
    </w:p>
    <w:p w14:paraId="05F4DCE2" w14:textId="77777777" w:rsidR="006501D2" w:rsidRPr="000746EA" w:rsidRDefault="006501D2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</w:p>
    <w:p w14:paraId="1DCA8AFE" w14:textId="2E2DFF32" w:rsidR="006501D2" w:rsidRPr="000746EA" w:rsidRDefault="00596CE1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2. persoane juridice legal constituite, autorizate de Comisia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Naţională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pentru Reciclarea Materialelor din cadrul Ministerului Economiei pentru preluarea responsabilității pentru gestionarea deșeurilor de anvelope uzate, plata făcându-se pentru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d</w:t>
      </w: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iferenţa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dintre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cantităţile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corespunzătoare obiectivelor anuale de gestionare a deșeurilor de anvelope uzate,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şi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proofErr w:type="spellStart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cantităţile</w:t>
      </w:r>
      <w:proofErr w:type="spellEnd"/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efectiv gestionate.</w:t>
      </w:r>
      <w:r w:rsidR="000D468F"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>”</w:t>
      </w:r>
    </w:p>
    <w:p w14:paraId="7E42F149" w14:textId="77777777" w:rsidR="006501D2" w:rsidRPr="000746EA" w:rsidRDefault="006501D2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</w:p>
    <w:p w14:paraId="6A21F793" w14:textId="4E39E735" w:rsidR="006501D2" w:rsidRPr="000746EA" w:rsidRDefault="00596CE1" w:rsidP="003508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b/>
          <w:sz w:val="24"/>
          <w:szCs w:val="24"/>
          <w:lang w:eastAsia="ro-RO"/>
        </w:rPr>
        <w:t>8. Articolul 9^1 se abrogă.</w:t>
      </w:r>
    </w:p>
    <w:p w14:paraId="3423AF46" w14:textId="77777777" w:rsidR="006501D2" w:rsidRPr="000746EA" w:rsidRDefault="006501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5807E758" w14:textId="1059C5B9" w:rsidR="006501D2" w:rsidRPr="000746EA" w:rsidRDefault="007005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746EA">
        <w:rPr>
          <w:rFonts w:ascii="Times New Roman" w:hAnsi="Times New Roman"/>
          <w:b/>
          <w:sz w:val="24"/>
          <w:szCs w:val="24"/>
          <w:lang w:eastAsia="ro-RO"/>
        </w:rPr>
        <w:t>9.</w:t>
      </w:r>
      <w:r w:rsidRPr="000746E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La articolul 10, alineatul (2) se modifică și va avea următorul cuprins:</w:t>
      </w:r>
    </w:p>
    <w:p w14:paraId="42430FC8" w14:textId="77777777" w:rsidR="006501D2" w:rsidRPr="000746EA" w:rsidRDefault="00596CE1">
      <w:pPr>
        <w:pStyle w:val="NormalWeb"/>
        <w:rPr>
          <w:rFonts w:ascii="Times New Roman" w:hAnsi="Times New Roman"/>
          <w:noProof/>
          <w:color w:val="auto"/>
          <w:sz w:val="24"/>
          <w:szCs w:val="24"/>
        </w:rPr>
      </w:pPr>
      <w:r w:rsidRPr="000746EA">
        <w:rPr>
          <w:rFonts w:ascii="Times New Roman" w:hAnsi="Times New Roman"/>
          <w:color w:val="auto"/>
          <w:sz w:val="24"/>
          <w:szCs w:val="24"/>
        </w:rPr>
        <w:t>„(2)</w:t>
      </w:r>
      <w:r w:rsidRPr="000746E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746EA">
        <w:rPr>
          <w:rFonts w:ascii="Times New Roman" w:hAnsi="Times New Roman"/>
          <w:noProof/>
          <w:color w:val="auto"/>
          <w:sz w:val="24"/>
          <w:szCs w:val="24"/>
        </w:rPr>
        <w:t>Contribuţiile prevăzute la art. 9 alin. (1) lit. d), i),</w:t>
      </w:r>
      <w:r w:rsidRPr="000746EA">
        <w:rPr>
          <w:rFonts w:ascii="Times New Roman" w:hAnsi="Times New Roman"/>
          <w:sz w:val="24"/>
          <w:szCs w:val="24"/>
        </w:rPr>
        <w:t xml:space="preserve"> </w:t>
      </w:r>
      <w:r w:rsidRPr="000746EA">
        <w:rPr>
          <w:rFonts w:ascii="Times New Roman" w:hAnsi="Times New Roman"/>
          <w:noProof/>
          <w:color w:val="auto"/>
          <w:sz w:val="24"/>
          <w:szCs w:val="24"/>
        </w:rPr>
        <w:t>v), w)-y)  se plătesc numai în cazul neîndeplinirii obiectivelor stabilite de legislația în vigoare, pentru</w:t>
      </w:r>
      <w:r w:rsidRPr="000746EA">
        <w:rPr>
          <w:rFonts w:ascii="Times New Roman" w:hAnsi="Times New Roman"/>
          <w:noProof/>
          <w:color w:val="auto"/>
          <w:sz w:val="24"/>
          <w:szCs w:val="24"/>
        </w:rPr>
        <w:t>:</w:t>
      </w:r>
    </w:p>
    <w:p w14:paraId="21C14C51" w14:textId="77777777" w:rsidR="006501D2" w:rsidRPr="000746EA" w:rsidRDefault="00596CE1">
      <w:pPr>
        <w:pStyle w:val="NormalWeb"/>
        <w:numPr>
          <w:ilvl w:val="0"/>
          <w:numId w:val="26"/>
        </w:numPr>
        <w:tabs>
          <w:tab w:val="left" w:pos="284"/>
        </w:tabs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0746EA">
        <w:rPr>
          <w:rFonts w:ascii="Times New Roman" w:hAnsi="Times New Roman"/>
          <w:noProof/>
          <w:color w:val="auto"/>
          <w:sz w:val="24"/>
          <w:szCs w:val="24"/>
        </w:rPr>
        <w:t xml:space="preserve">cantităţile de deşeuri de ambalaje corespunzătoare ambalajelor pe care operatorii economici prevăzuţi la art. 9 alin. (1) lit. d) nu le-au contractat cu </w:t>
      </w:r>
      <w:r w:rsidRPr="000746EA">
        <w:rPr>
          <w:rFonts w:ascii="Times New Roman" w:hAnsi="Times New Roman"/>
          <w:iCs/>
          <w:sz w:val="24"/>
          <w:szCs w:val="24"/>
        </w:rPr>
        <w:t xml:space="preserve">operatorii economici </w:t>
      </w:r>
      <w:proofErr w:type="spellStart"/>
      <w:r w:rsidRPr="000746EA">
        <w:rPr>
          <w:rFonts w:ascii="Times New Roman" w:hAnsi="Times New Roman"/>
          <w:iCs/>
          <w:sz w:val="24"/>
          <w:szCs w:val="24"/>
        </w:rPr>
        <w:t>autorizaţi</w:t>
      </w:r>
      <w:proofErr w:type="spellEnd"/>
      <w:r w:rsidRPr="000746EA">
        <w:rPr>
          <w:rFonts w:ascii="Times New Roman" w:hAnsi="Times New Roman"/>
          <w:color w:val="auto"/>
          <w:sz w:val="24"/>
          <w:szCs w:val="24"/>
        </w:rPr>
        <w:t xml:space="preserve"> pentru implementarea </w:t>
      </w:r>
      <w:proofErr w:type="spellStart"/>
      <w:r w:rsidRPr="000746EA">
        <w:rPr>
          <w:rFonts w:ascii="Times New Roman" w:hAnsi="Times New Roman"/>
          <w:color w:val="auto"/>
          <w:sz w:val="24"/>
          <w:szCs w:val="24"/>
        </w:rPr>
        <w:t>obligaţiilor</w:t>
      </w:r>
      <w:proofErr w:type="spellEnd"/>
      <w:r w:rsidRPr="000746EA">
        <w:rPr>
          <w:rFonts w:ascii="Times New Roman" w:hAnsi="Times New Roman"/>
          <w:color w:val="auto"/>
          <w:sz w:val="24"/>
          <w:szCs w:val="24"/>
        </w:rPr>
        <w:t xml:space="preserve"> privind răspunderea extinsă a producă</w:t>
      </w:r>
      <w:r w:rsidRPr="000746EA">
        <w:rPr>
          <w:rFonts w:ascii="Times New Roman" w:hAnsi="Times New Roman"/>
          <w:color w:val="auto"/>
          <w:sz w:val="24"/>
          <w:szCs w:val="24"/>
        </w:rPr>
        <w:t>torului</w:t>
      </w:r>
      <w:r w:rsidRPr="000746EA">
        <w:rPr>
          <w:rFonts w:ascii="Times New Roman" w:hAnsi="Times New Roman"/>
          <w:color w:val="auto"/>
          <w:sz w:val="24"/>
          <w:szCs w:val="24"/>
        </w:rPr>
        <w:t>;</w:t>
      </w:r>
      <w:r w:rsidRPr="000746E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F997F0B" w14:textId="5FD6E38E" w:rsidR="006501D2" w:rsidRPr="000746EA" w:rsidRDefault="00596CE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746EA">
        <w:rPr>
          <w:rFonts w:ascii="Times New Roman" w:hAnsi="Times New Roman"/>
          <w:sz w:val="24"/>
          <w:szCs w:val="24"/>
        </w:rPr>
        <w:t xml:space="preserve">2. cantitățile de deșeuri de ambalaje pentru care </w:t>
      </w:r>
      <w:r w:rsidRPr="000746EA">
        <w:rPr>
          <w:rFonts w:ascii="Times New Roman" w:hAnsi="Times New Roman"/>
          <w:noProof/>
          <w:sz w:val="24"/>
          <w:szCs w:val="24"/>
        </w:rPr>
        <w:t xml:space="preserve">operatorii economici prevăzuţi la art. 9 alin. (1) lit. d) </w:t>
      </w:r>
      <w:r w:rsidRPr="000746EA">
        <w:rPr>
          <w:rFonts w:ascii="Times New Roman" w:hAnsi="Times New Roman"/>
          <w:sz w:val="24"/>
          <w:szCs w:val="24"/>
        </w:rPr>
        <w:t xml:space="preserve">au încheiat contracte cu  operatorii economici autorizați pentru implementarea obligațiilor privind răspunderea extinsă a producătorului </w:t>
      </w:r>
      <w:r w:rsidRPr="000746EA">
        <w:rPr>
          <w:rFonts w:ascii="Times New Roman" w:hAnsi="Times New Roman"/>
          <w:sz w:val="24"/>
          <w:szCs w:val="24"/>
        </w:rPr>
        <w:t>ș</w:t>
      </w:r>
      <w:r w:rsidRPr="000746EA">
        <w:rPr>
          <w:rFonts w:ascii="Times New Roman" w:hAnsi="Times New Roman"/>
          <w:sz w:val="24"/>
          <w:szCs w:val="24"/>
        </w:rPr>
        <w:t xml:space="preserve">i pentru care aceștia din urmă nu au îndeplinit obiectivele prevăzute de lege, după executarea garanției prevăzute la </w:t>
      </w:r>
      <w:r w:rsidR="00B21E8E" w:rsidRPr="000746EA">
        <w:rPr>
          <w:rFonts w:ascii="Times New Roman" w:hAnsi="Times New Roman"/>
          <w:sz w:val="24"/>
          <w:szCs w:val="24"/>
        </w:rPr>
        <w:t>a</w:t>
      </w:r>
      <w:r w:rsidRPr="000746EA">
        <w:rPr>
          <w:rFonts w:ascii="Times New Roman" w:hAnsi="Times New Roman"/>
          <w:sz w:val="24"/>
          <w:szCs w:val="24"/>
        </w:rPr>
        <w:t>rt.16 alin. (8) lit.</w:t>
      </w:r>
      <w:r w:rsidR="00B21E8E" w:rsidRPr="000746EA">
        <w:rPr>
          <w:rFonts w:ascii="Times New Roman" w:hAnsi="Times New Roman"/>
          <w:sz w:val="24"/>
          <w:szCs w:val="24"/>
        </w:rPr>
        <w:t xml:space="preserve"> </w:t>
      </w:r>
      <w:r w:rsidRPr="000746EA">
        <w:rPr>
          <w:rFonts w:ascii="Times New Roman" w:hAnsi="Times New Roman"/>
          <w:sz w:val="24"/>
          <w:szCs w:val="24"/>
        </w:rPr>
        <w:t>e) din Legea nr.</w:t>
      </w:r>
      <w:r w:rsidR="00B21E8E" w:rsidRPr="000746EA">
        <w:rPr>
          <w:rFonts w:ascii="Times New Roman" w:hAnsi="Times New Roman"/>
          <w:sz w:val="24"/>
          <w:szCs w:val="24"/>
        </w:rPr>
        <w:t xml:space="preserve"> </w:t>
      </w:r>
      <w:r w:rsidRPr="000746EA">
        <w:rPr>
          <w:rFonts w:ascii="Times New Roman" w:hAnsi="Times New Roman"/>
          <w:sz w:val="24"/>
          <w:szCs w:val="24"/>
        </w:rPr>
        <w:t xml:space="preserve">249/2015 </w:t>
      </w:r>
      <w:r w:rsidRPr="000746E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privind </w:t>
      </w:r>
      <w:r w:rsidRPr="000746EA">
        <w:rPr>
          <w:rFonts w:ascii="Times New Roman" w:hAnsi="Times New Roman"/>
          <w:sz w:val="24"/>
          <w:szCs w:val="24"/>
        </w:rPr>
        <w:t xml:space="preserve">modalitatea de gestionare a ambalajelor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746EA">
        <w:rPr>
          <w:rFonts w:ascii="Times New Roman" w:hAnsi="Times New Roman"/>
          <w:sz w:val="24"/>
          <w:szCs w:val="24"/>
        </w:rPr>
        <w:t>deşeurilor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de ambalaje, cu modificăr</w:t>
      </w:r>
      <w:r w:rsidRPr="000746EA">
        <w:rPr>
          <w:rFonts w:ascii="Times New Roman" w:hAnsi="Times New Roman"/>
          <w:sz w:val="24"/>
          <w:szCs w:val="24"/>
        </w:rPr>
        <w:t xml:space="preserve">ile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completările ulterioare.   </w:t>
      </w:r>
    </w:p>
    <w:p w14:paraId="0EAB84A4" w14:textId="77777777" w:rsidR="006501D2" w:rsidRPr="000746EA" w:rsidRDefault="00596CE1">
      <w:pPr>
        <w:pStyle w:val="NormalWeb"/>
        <w:tabs>
          <w:tab w:val="left" w:pos="284"/>
        </w:tabs>
        <w:rPr>
          <w:rFonts w:ascii="Times New Roman" w:hAnsi="Times New Roman"/>
          <w:noProof/>
          <w:color w:val="auto"/>
          <w:sz w:val="24"/>
          <w:szCs w:val="24"/>
        </w:rPr>
      </w:pPr>
      <w:r w:rsidRPr="000746EA">
        <w:rPr>
          <w:rFonts w:ascii="Times New Roman" w:hAnsi="Times New Roman"/>
          <w:noProof/>
          <w:color w:val="auto"/>
          <w:sz w:val="24"/>
          <w:szCs w:val="24"/>
        </w:rPr>
        <w:t>3. cantităţile de deşeuri de anvelope uzate corespunzătoare cantităţilor de anvelope pentru care operatorii economici prevăzuţi la art. 9 alin. (1) lit. i) nu au predat responsabilitatea unor persoane juridice legal const</w:t>
      </w:r>
      <w:r w:rsidRPr="000746EA">
        <w:rPr>
          <w:rFonts w:ascii="Times New Roman" w:hAnsi="Times New Roman"/>
          <w:noProof/>
          <w:color w:val="auto"/>
          <w:sz w:val="24"/>
          <w:szCs w:val="24"/>
        </w:rPr>
        <w:t>ituite;</w:t>
      </w:r>
    </w:p>
    <w:p w14:paraId="650C5188" w14:textId="77777777" w:rsidR="006501D2" w:rsidRPr="000746EA" w:rsidRDefault="00596CE1">
      <w:pPr>
        <w:pStyle w:val="NormalWeb"/>
        <w:tabs>
          <w:tab w:val="left" w:pos="284"/>
        </w:tabs>
        <w:rPr>
          <w:rFonts w:ascii="Times New Roman" w:hAnsi="Times New Roman"/>
          <w:noProof/>
          <w:color w:val="auto"/>
          <w:sz w:val="24"/>
          <w:szCs w:val="24"/>
        </w:rPr>
      </w:pPr>
      <w:r w:rsidRPr="000746EA">
        <w:rPr>
          <w:rFonts w:ascii="Times New Roman" w:hAnsi="Times New Roman"/>
          <w:noProof/>
          <w:color w:val="auto"/>
          <w:sz w:val="24"/>
          <w:szCs w:val="24"/>
        </w:rPr>
        <w:t>4.cantităţile de deşeuri de echipamente electrice şi electronice, respectiv deşeuri de baterii şi acumulatori portabili, corespunzătoare echipamentelor electrice şi electronice, respectiv bateriilor şi acumulatorilor portabili pentru care operatori</w:t>
      </w:r>
      <w:r w:rsidRPr="000746EA">
        <w:rPr>
          <w:rFonts w:ascii="Times New Roman" w:hAnsi="Times New Roman"/>
          <w:noProof/>
          <w:color w:val="auto"/>
          <w:sz w:val="24"/>
          <w:szCs w:val="24"/>
        </w:rPr>
        <w:t>i economici prevăzuţi la art. 9 alin. (1) lit. w) şi x) nu au predat responsabilitatea pe bază de contract, către o organizaţie colectivă;</w:t>
      </w:r>
    </w:p>
    <w:p w14:paraId="24A0B2F6" w14:textId="531541D0" w:rsidR="006501D2" w:rsidRPr="000746EA" w:rsidRDefault="00596CE1">
      <w:pPr>
        <w:pStyle w:val="NormalWeb"/>
        <w:tabs>
          <w:tab w:val="left" w:pos="284"/>
        </w:tabs>
        <w:rPr>
          <w:rFonts w:ascii="Times New Roman" w:hAnsi="Times New Roman"/>
          <w:noProof/>
          <w:color w:val="auto"/>
          <w:sz w:val="24"/>
          <w:szCs w:val="24"/>
        </w:rPr>
      </w:pPr>
      <w:r w:rsidRPr="000746EA">
        <w:rPr>
          <w:rFonts w:ascii="Times New Roman" w:hAnsi="Times New Roman"/>
          <w:noProof/>
          <w:color w:val="auto"/>
          <w:sz w:val="24"/>
          <w:szCs w:val="24"/>
        </w:rPr>
        <w:t>5</w:t>
      </w:r>
      <w:r w:rsidR="00B21E8E" w:rsidRPr="000746EA">
        <w:rPr>
          <w:rFonts w:ascii="Times New Roman" w:hAnsi="Times New Roman"/>
          <w:noProof/>
          <w:color w:val="auto"/>
          <w:sz w:val="24"/>
          <w:szCs w:val="24"/>
        </w:rPr>
        <w:t>.</w:t>
      </w:r>
      <w:r w:rsidRPr="000746EA">
        <w:rPr>
          <w:rFonts w:ascii="Times New Roman" w:hAnsi="Times New Roman"/>
          <w:noProof/>
          <w:color w:val="auto"/>
          <w:sz w:val="24"/>
          <w:szCs w:val="24"/>
        </w:rPr>
        <w:t xml:space="preserve"> cantităţile de deşeuri de ambalaje corespunzătoare ambalajelor pe care </w:t>
      </w:r>
      <w:r w:rsidRPr="000746EA">
        <w:rPr>
          <w:rFonts w:ascii="Times New Roman" w:hAnsi="Times New Roman"/>
          <w:iCs/>
          <w:sz w:val="24"/>
          <w:szCs w:val="24"/>
        </w:rPr>
        <w:t xml:space="preserve">operatorii economici </w:t>
      </w:r>
      <w:proofErr w:type="spellStart"/>
      <w:r w:rsidRPr="000746EA">
        <w:rPr>
          <w:rFonts w:ascii="Times New Roman" w:hAnsi="Times New Roman"/>
          <w:iCs/>
          <w:sz w:val="24"/>
          <w:szCs w:val="24"/>
        </w:rPr>
        <w:t>autorizaţi</w:t>
      </w:r>
      <w:proofErr w:type="spellEnd"/>
      <w:r w:rsidRPr="000746EA">
        <w:rPr>
          <w:rFonts w:ascii="Times New Roman" w:hAnsi="Times New Roman"/>
          <w:color w:val="auto"/>
          <w:sz w:val="24"/>
          <w:szCs w:val="24"/>
        </w:rPr>
        <w:t xml:space="preserve"> pentru implementarea </w:t>
      </w:r>
      <w:proofErr w:type="spellStart"/>
      <w:r w:rsidRPr="000746EA">
        <w:rPr>
          <w:rFonts w:ascii="Times New Roman" w:hAnsi="Times New Roman"/>
          <w:color w:val="auto"/>
          <w:sz w:val="24"/>
          <w:szCs w:val="24"/>
        </w:rPr>
        <w:t>obligaţiilor</w:t>
      </w:r>
      <w:proofErr w:type="spellEnd"/>
      <w:r w:rsidRPr="000746EA">
        <w:rPr>
          <w:rFonts w:ascii="Times New Roman" w:hAnsi="Times New Roman"/>
          <w:color w:val="auto"/>
          <w:sz w:val="24"/>
          <w:szCs w:val="24"/>
        </w:rPr>
        <w:t xml:space="preserve"> privind răspunderea extinsă a producătorului, prevăzute la </w:t>
      </w:r>
      <w:r w:rsidRPr="000746EA">
        <w:rPr>
          <w:rFonts w:ascii="Times New Roman" w:hAnsi="Times New Roman"/>
          <w:noProof/>
          <w:color w:val="auto"/>
          <w:sz w:val="24"/>
          <w:szCs w:val="24"/>
        </w:rPr>
        <w:t>art. 9 alin. (1) lit. v), le-au contractat</w:t>
      </w:r>
      <w:r w:rsidRPr="000746EA">
        <w:rPr>
          <w:rFonts w:ascii="Times New Roman" w:hAnsi="Times New Roman"/>
          <w:noProof/>
          <w:color w:val="auto"/>
          <w:sz w:val="24"/>
          <w:szCs w:val="24"/>
        </w:rPr>
        <w:t>;</w:t>
      </w:r>
    </w:p>
    <w:p w14:paraId="43FE5811" w14:textId="77777777" w:rsidR="006501D2" w:rsidRPr="000746EA" w:rsidRDefault="00596CE1">
      <w:pPr>
        <w:pStyle w:val="NormalWeb"/>
        <w:tabs>
          <w:tab w:val="left" w:pos="284"/>
        </w:tabs>
        <w:rPr>
          <w:rFonts w:ascii="Times New Roman" w:hAnsi="Times New Roman"/>
          <w:noProof/>
          <w:color w:val="auto"/>
          <w:sz w:val="24"/>
          <w:szCs w:val="24"/>
        </w:rPr>
      </w:pPr>
      <w:r w:rsidRPr="000746EA">
        <w:rPr>
          <w:rFonts w:ascii="Times New Roman" w:hAnsi="Times New Roman"/>
          <w:noProof/>
          <w:color w:val="auto"/>
          <w:sz w:val="24"/>
          <w:szCs w:val="24"/>
        </w:rPr>
        <w:lastRenderedPageBreak/>
        <w:t xml:space="preserve">6. cantităţile de deşeuri de anvelope uzate corespunzătoare anvelopelor noi şi/sau uzate, destinate reutilizării, </w:t>
      </w:r>
      <w:r w:rsidRPr="000746EA">
        <w:rPr>
          <w:rFonts w:ascii="Times New Roman" w:hAnsi="Times New Roman"/>
          <w:noProof/>
          <w:color w:val="auto"/>
          <w:sz w:val="24"/>
          <w:szCs w:val="24"/>
        </w:rPr>
        <w:t>pentru care persoanele juridice legal constituite,</w:t>
      </w:r>
      <w:r w:rsidRPr="000746EA">
        <w:rPr>
          <w:rFonts w:ascii="Times New Roman" w:hAnsi="Times New Roman"/>
          <w:color w:val="auto"/>
          <w:sz w:val="24"/>
          <w:szCs w:val="24"/>
        </w:rPr>
        <w:t xml:space="preserve"> prevăzute la </w:t>
      </w:r>
      <w:r w:rsidRPr="000746EA">
        <w:rPr>
          <w:rFonts w:ascii="Times New Roman" w:hAnsi="Times New Roman"/>
          <w:noProof/>
          <w:color w:val="auto"/>
          <w:sz w:val="24"/>
          <w:szCs w:val="24"/>
        </w:rPr>
        <w:t>art. 9 alin. (1) lit. v), au preluat responsabilitatea</w:t>
      </w:r>
      <w:r w:rsidRPr="000746EA">
        <w:rPr>
          <w:rFonts w:ascii="Times New Roman" w:hAnsi="Times New Roman"/>
          <w:noProof/>
          <w:color w:val="auto"/>
          <w:sz w:val="24"/>
          <w:szCs w:val="24"/>
        </w:rPr>
        <w:t>;</w:t>
      </w:r>
    </w:p>
    <w:p w14:paraId="0F854FB5" w14:textId="1080E743" w:rsidR="006501D2" w:rsidRPr="000746EA" w:rsidRDefault="00596CE1">
      <w:pPr>
        <w:pStyle w:val="NormalWeb"/>
        <w:tabs>
          <w:tab w:val="left" w:pos="284"/>
        </w:tabs>
        <w:rPr>
          <w:rFonts w:ascii="Times New Roman" w:hAnsi="Times New Roman"/>
          <w:noProof/>
          <w:color w:val="auto"/>
          <w:sz w:val="24"/>
          <w:szCs w:val="24"/>
        </w:rPr>
      </w:pPr>
      <w:r w:rsidRPr="000746EA">
        <w:rPr>
          <w:rFonts w:ascii="Times New Roman" w:hAnsi="Times New Roman"/>
          <w:noProof/>
          <w:color w:val="auto"/>
          <w:sz w:val="24"/>
          <w:szCs w:val="24"/>
        </w:rPr>
        <w:t>7. cantităţile de deşeuri de echipamente electrice şi electronice, respectiv deşeuri de baterii şi acumulatori portabili, corespunzătoar</w:t>
      </w:r>
      <w:r w:rsidRPr="000746EA">
        <w:rPr>
          <w:rFonts w:ascii="Times New Roman" w:hAnsi="Times New Roman"/>
          <w:noProof/>
          <w:color w:val="auto"/>
          <w:sz w:val="24"/>
          <w:szCs w:val="24"/>
        </w:rPr>
        <w:t xml:space="preserve">e echipamentelor electrice şi electronice, respectiv bateriilor şi </w:t>
      </w:r>
      <w:bookmarkStart w:id="5" w:name="_Hlk110936222"/>
      <w:r w:rsidRPr="000746EA">
        <w:rPr>
          <w:rFonts w:ascii="Times New Roman" w:hAnsi="Times New Roman"/>
          <w:noProof/>
          <w:color w:val="auto"/>
          <w:sz w:val="24"/>
          <w:szCs w:val="24"/>
        </w:rPr>
        <w:t xml:space="preserve">acumulatorilor portabili </w:t>
      </w:r>
      <w:bookmarkEnd w:id="5"/>
      <w:r w:rsidRPr="000746EA">
        <w:rPr>
          <w:rFonts w:ascii="Times New Roman" w:hAnsi="Times New Roman"/>
          <w:noProof/>
          <w:color w:val="auto"/>
          <w:sz w:val="24"/>
          <w:szCs w:val="24"/>
        </w:rPr>
        <w:t>pentru care organizaţiile colective prevăzute la art. 9 alin. (1) lit. y) au preluat responsabilitatea.</w:t>
      </w:r>
      <w:r w:rsidR="000B7B92" w:rsidRPr="000746EA">
        <w:rPr>
          <w:rFonts w:ascii="Times New Roman" w:hAnsi="Times New Roman"/>
          <w:noProof/>
          <w:color w:val="auto"/>
          <w:sz w:val="24"/>
          <w:szCs w:val="24"/>
        </w:rPr>
        <w:t>”</w:t>
      </w:r>
      <w:r w:rsidRPr="000746EA">
        <w:rPr>
          <w:rFonts w:ascii="Times New Roman" w:hAnsi="Times New Roman"/>
          <w:noProof/>
          <w:color w:val="auto"/>
          <w:sz w:val="24"/>
          <w:szCs w:val="24"/>
        </w:rPr>
        <w:t xml:space="preserve">  </w:t>
      </w:r>
    </w:p>
    <w:p w14:paraId="70874577" w14:textId="77777777" w:rsidR="000B7B92" w:rsidRPr="000746EA" w:rsidRDefault="000B7B92">
      <w:pPr>
        <w:pStyle w:val="NormalWeb"/>
        <w:tabs>
          <w:tab w:val="left" w:pos="284"/>
        </w:tabs>
        <w:rPr>
          <w:rFonts w:ascii="Times New Roman" w:hAnsi="Times New Roman"/>
          <w:noProof/>
          <w:color w:val="auto"/>
          <w:sz w:val="24"/>
          <w:szCs w:val="24"/>
        </w:rPr>
      </w:pPr>
    </w:p>
    <w:p w14:paraId="084F89D4" w14:textId="4B3F125A" w:rsidR="006501D2" w:rsidRPr="000746EA" w:rsidRDefault="00596C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b/>
          <w:sz w:val="24"/>
          <w:szCs w:val="24"/>
          <w:lang w:eastAsia="ro-RO"/>
        </w:rPr>
        <w:t>1</w:t>
      </w:r>
      <w:r w:rsidR="00431090" w:rsidRPr="000746EA">
        <w:rPr>
          <w:rFonts w:ascii="Times New Roman" w:eastAsia="Times New Roman" w:hAnsi="Times New Roman"/>
          <w:b/>
          <w:sz w:val="24"/>
          <w:szCs w:val="24"/>
          <w:lang w:eastAsia="ro-RO"/>
        </w:rPr>
        <w:t>0</w:t>
      </w:r>
      <w:r w:rsidRPr="000746EA">
        <w:rPr>
          <w:rFonts w:ascii="Times New Roman" w:eastAsia="Times New Roman" w:hAnsi="Times New Roman"/>
          <w:b/>
          <w:sz w:val="24"/>
          <w:szCs w:val="24"/>
          <w:lang w:eastAsia="ro-RO"/>
        </w:rPr>
        <w:t>. La articolul 10, alineat</w:t>
      </w:r>
      <w:r w:rsidR="0051307E" w:rsidRPr="000746EA">
        <w:rPr>
          <w:rFonts w:ascii="Times New Roman" w:eastAsia="Times New Roman" w:hAnsi="Times New Roman"/>
          <w:b/>
          <w:sz w:val="24"/>
          <w:szCs w:val="24"/>
          <w:lang w:eastAsia="ro-RO"/>
        </w:rPr>
        <w:t>ul</w:t>
      </w:r>
      <w:r w:rsidRPr="000746E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(2^1) se abrogă.</w:t>
      </w:r>
    </w:p>
    <w:p w14:paraId="6E6750E5" w14:textId="77777777" w:rsidR="006501D2" w:rsidRPr="000746EA" w:rsidRDefault="006501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0C975AF4" w14:textId="6D5A2F8E" w:rsidR="006501D2" w:rsidRPr="000746EA" w:rsidRDefault="00596CE1">
      <w:pPr>
        <w:spacing w:after="0" w:line="240" w:lineRule="auto"/>
        <w:jc w:val="both"/>
        <w:rPr>
          <w:rFonts w:ascii="Times New Roman" w:eastAsia="Times New Roman" w:hAnsi="Times New Roman"/>
          <w:i/>
          <w:noProof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1</w:t>
      </w:r>
      <w:r w:rsidR="00431090" w:rsidRPr="000746EA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1</w:t>
      </w:r>
      <w:r w:rsidRPr="000746EA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.</w:t>
      </w:r>
      <w:r w:rsidRPr="000746EA">
        <w:rPr>
          <w:rFonts w:ascii="Times New Roman" w:eastAsia="Times New Roman" w:hAnsi="Times New Roman"/>
          <w:i/>
          <w:noProof/>
          <w:sz w:val="24"/>
          <w:szCs w:val="24"/>
          <w:lang w:eastAsia="ro-RO"/>
        </w:rPr>
        <w:t xml:space="preserve"> </w:t>
      </w:r>
      <w:r w:rsidRPr="000746EA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La </w:t>
      </w:r>
      <w:r w:rsidRPr="000746EA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articolul 10, după alineatul (2^2) se introduce un nou alineat, alineatul (2^3), cu următorul cuprins</w:t>
      </w:r>
      <w:r w:rsidRPr="000746EA">
        <w:rPr>
          <w:rFonts w:ascii="Times New Roman" w:eastAsia="Times New Roman" w:hAnsi="Times New Roman"/>
          <w:i/>
          <w:noProof/>
          <w:sz w:val="24"/>
          <w:szCs w:val="24"/>
          <w:lang w:eastAsia="ro-RO"/>
        </w:rPr>
        <w:t xml:space="preserve">: </w:t>
      </w:r>
    </w:p>
    <w:p w14:paraId="2588FC90" w14:textId="0EAF8834" w:rsidR="006501D2" w:rsidRPr="000746EA" w:rsidRDefault="00596CE1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iCs/>
          <w:noProof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iCs/>
          <w:noProof/>
          <w:sz w:val="24"/>
          <w:szCs w:val="24"/>
          <w:lang w:eastAsia="ro-RO"/>
        </w:rPr>
        <w:t>„(2^3) În cazul în care Administrația Fondului pentru Mediu constată ca nefiind colectate/valorificate/reciclate cantitățile de deseuri pe care persoane</w:t>
      </w:r>
      <w:r w:rsidRPr="000746EA">
        <w:rPr>
          <w:rFonts w:ascii="Times New Roman" w:eastAsia="Times New Roman" w:hAnsi="Times New Roman"/>
          <w:iCs/>
          <w:noProof/>
          <w:sz w:val="24"/>
          <w:szCs w:val="24"/>
          <w:lang w:eastAsia="ro-RO"/>
        </w:rPr>
        <w:t>le juridice prevăzute la art. 9 alin.</w:t>
      </w:r>
      <w:r w:rsidR="00B95AB8" w:rsidRPr="000746EA">
        <w:rPr>
          <w:rFonts w:ascii="Times New Roman" w:eastAsia="Times New Roman" w:hAnsi="Times New Roman"/>
          <w:iCs/>
          <w:noProof/>
          <w:sz w:val="24"/>
          <w:szCs w:val="24"/>
          <w:lang w:eastAsia="ro-RO"/>
        </w:rPr>
        <w:t xml:space="preserve"> </w:t>
      </w:r>
      <w:r w:rsidRPr="000746EA">
        <w:rPr>
          <w:rFonts w:ascii="Times New Roman" w:eastAsia="Times New Roman" w:hAnsi="Times New Roman"/>
          <w:iCs/>
          <w:noProof/>
          <w:sz w:val="24"/>
          <w:szCs w:val="24"/>
          <w:lang w:eastAsia="ro-RO"/>
        </w:rPr>
        <w:t>(1) lit.v) și y) le-au contractat, acestea nu sunt luate în considerare la îndeplinirea obiectivelor.</w:t>
      </w:r>
      <w:r w:rsidRPr="000746EA">
        <w:rPr>
          <w:rFonts w:ascii="Times New Roman" w:eastAsia="Times New Roman" w:hAnsi="Times New Roman"/>
          <w:iCs/>
          <w:noProof/>
          <w:sz w:val="24"/>
          <w:szCs w:val="24"/>
          <w:lang w:eastAsia="ro-RO"/>
        </w:rPr>
        <w:t>”</w:t>
      </w:r>
    </w:p>
    <w:p w14:paraId="134DE374" w14:textId="77777777" w:rsidR="006501D2" w:rsidRPr="000746EA" w:rsidRDefault="006501D2">
      <w:pPr>
        <w:spacing w:after="0" w:line="240" w:lineRule="auto"/>
        <w:rPr>
          <w:rFonts w:ascii="Times New Roman" w:eastAsia="Times New Roman" w:hAnsi="Times New Roman"/>
          <w:iCs/>
          <w:color w:val="FF0000"/>
          <w:sz w:val="24"/>
          <w:szCs w:val="24"/>
          <w:lang w:eastAsia="ro-RO"/>
        </w:rPr>
      </w:pPr>
    </w:p>
    <w:p w14:paraId="2E1B8307" w14:textId="0AF913C2" w:rsidR="006501D2" w:rsidRPr="000746EA" w:rsidRDefault="00596C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b/>
          <w:sz w:val="24"/>
          <w:szCs w:val="24"/>
          <w:lang w:eastAsia="ro-RO"/>
        </w:rPr>
        <w:t>1</w:t>
      </w:r>
      <w:r w:rsidR="00431090" w:rsidRPr="000746EA">
        <w:rPr>
          <w:rFonts w:ascii="Times New Roman" w:eastAsia="Times New Roman" w:hAnsi="Times New Roman"/>
          <w:b/>
          <w:sz w:val="24"/>
          <w:szCs w:val="24"/>
          <w:lang w:eastAsia="ro-RO"/>
        </w:rPr>
        <w:t>2</w:t>
      </w:r>
      <w:r w:rsidRPr="000746EA">
        <w:rPr>
          <w:rFonts w:ascii="Times New Roman" w:eastAsia="Times New Roman" w:hAnsi="Times New Roman"/>
          <w:b/>
          <w:sz w:val="24"/>
          <w:szCs w:val="24"/>
          <w:lang w:eastAsia="ro-RO"/>
        </w:rPr>
        <w:t>. La articolul 10, alineatul (9) se modifică și va avea următorul cuprins</w:t>
      </w:r>
      <w:r w:rsidRPr="000746EA">
        <w:rPr>
          <w:rFonts w:ascii="Times New Roman" w:eastAsia="Times New Roman" w:hAnsi="Times New Roman"/>
          <w:b/>
          <w:sz w:val="24"/>
          <w:szCs w:val="24"/>
          <w:lang w:eastAsia="ro-RO"/>
        </w:rPr>
        <w:t>:</w:t>
      </w:r>
    </w:p>
    <w:p w14:paraId="707E6B9F" w14:textId="56E15A94" w:rsidR="006501D2" w:rsidRPr="000746EA" w:rsidRDefault="00596CE1">
      <w:pPr>
        <w:pStyle w:val="NormalWeb"/>
        <w:rPr>
          <w:sz w:val="24"/>
          <w:szCs w:val="24"/>
        </w:rPr>
      </w:pP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 xml:space="preserve">„(9) Aplicaţia informatică SIATD se utilizează de către persoanele juridice prevăzute la art. 9 alin. (1) lit. v) şi y), de către </w:t>
      </w:r>
      <w:r w:rsidRPr="000746EA">
        <w:rPr>
          <w:rFonts w:ascii="Times New Roman" w:hAnsi="Times New Roman"/>
          <w:sz w:val="24"/>
          <w:szCs w:val="24"/>
        </w:rPr>
        <w:t xml:space="preserve">operatorii economici care </w:t>
      </w:r>
      <w:proofErr w:type="spellStart"/>
      <w:r w:rsidRPr="000746EA">
        <w:rPr>
          <w:rFonts w:ascii="Times New Roman" w:hAnsi="Times New Roman"/>
          <w:sz w:val="24"/>
          <w:szCs w:val="24"/>
        </w:rPr>
        <w:t>desfăşoară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EA">
        <w:rPr>
          <w:rFonts w:ascii="Times New Roman" w:hAnsi="Times New Roman"/>
          <w:sz w:val="24"/>
          <w:szCs w:val="24"/>
        </w:rPr>
        <w:t>activităţi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de colectare/valorificare/salubrizare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raportează </w:t>
      </w:r>
      <w:proofErr w:type="spellStart"/>
      <w:r w:rsidRPr="000746EA">
        <w:rPr>
          <w:rFonts w:ascii="Times New Roman" w:hAnsi="Times New Roman"/>
          <w:sz w:val="24"/>
          <w:szCs w:val="24"/>
        </w:rPr>
        <w:t>deşeuri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pentru contribuabi</w:t>
      </w:r>
      <w:r w:rsidRPr="000746EA">
        <w:rPr>
          <w:rFonts w:ascii="Times New Roman" w:hAnsi="Times New Roman"/>
          <w:sz w:val="24"/>
          <w:szCs w:val="24"/>
        </w:rPr>
        <w:t xml:space="preserve">lii </w:t>
      </w:r>
      <w:proofErr w:type="spellStart"/>
      <w:r w:rsidRPr="000746EA">
        <w:rPr>
          <w:rFonts w:ascii="Times New Roman" w:hAnsi="Times New Roman"/>
          <w:sz w:val="24"/>
          <w:szCs w:val="24"/>
        </w:rPr>
        <w:t>prevăzuţi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la </w:t>
      </w:r>
      <w:hyperlink w:history="1">
        <w:r w:rsidRPr="000746EA">
          <w:rPr>
            <w:rFonts w:ascii="Times New Roman" w:hAnsi="Times New Roman"/>
            <w:sz w:val="24"/>
            <w:szCs w:val="24"/>
          </w:rPr>
          <w:t>lit. v)</w:t>
        </w:r>
      </w:hyperlink>
      <w:r w:rsidRPr="00074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</w:t>
      </w:r>
      <w:hyperlink w:history="1">
        <w:r w:rsidRPr="000746EA">
          <w:rPr>
            <w:rFonts w:ascii="Times New Roman" w:hAnsi="Times New Roman"/>
            <w:sz w:val="24"/>
            <w:szCs w:val="24"/>
          </w:rPr>
          <w:t>y)</w:t>
        </w:r>
      </w:hyperlink>
      <w:r w:rsidRPr="000746EA">
        <w:rPr>
          <w:rFonts w:ascii="Times New Roman" w:hAnsi="Times New Roman"/>
          <w:sz w:val="24"/>
          <w:szCs w:val="24"/>
        </w:rPr>
        <w:t xml:space="preserve">, precum și de către </w:t>
      </w: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 xml:space="preserve">persoanele juridice </w:t>
      </w:r>
      <w:r w:rsidRPr="000746EA">
        <w:rPr>
          <w:rFonts w:ascii="Times New Roman" w:hAnsi="Times New Roman"/>
          <w:bCs/>
          <w:sz w:val="24"/>
          <w:szCs w:val="24"/>
        </w:rPr>
        <w:t xml:space="preserve">ale căror costuri nete </w:t>
      </w:r>
      <w:proofErr w:type="spellStart"/>
      <w:r w:rsidRPr="000746EA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bCs/>
          <w:sz w:val="24"/>
          <w:szCs w:val="24"/>
        </w:rPr>
        <w:t xml:space="preserve">/sau costuri de colectare/valorificare/sortare/raportare sunt </w:t>
      </w:r>
      <w:proofErr w:type="spellStart"/>
      <w:r w:rsidRPr="000746EA">
        <w:rPr>
          <w:rFonts w:ascii="Times New Roman" w:hAnsi="Times New Roman"/>
          <w:bCs/>
          <w:sz w:val="24"/>
          <w:szCs w:val="24"/>
        </w:rPr>
        <w:t>finanţate</w:t>
      </w:r>
      <w:proofErr w:type="spellEnd"/>
      <w:r w:rsidRPr="000746EA">
        <w:rPr>
          <w:rFonts w:ascii="Times New Roman" w:hAnsi="Times New Roman"/>
          <w:bCs/>
          <w:sz w:val="24"/>
          <w:szCs w:val="24"/>
        </w:rPr>
        <w:t xml:space="preserve"> de către </w:t>
      </w: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>persoanele juridice prevăzute la art. 9 alin. (1) l</w:t>
      </w: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>it. v) şi y).</w:t>
      </w: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>”</w:t>
      </w:r>
    </w:p>
    <w:p w14:paraId="3CF3A8ED" w14:textId="77777777" w:rsidR="006501D2" w:rsidRPr="000746EA" w:rsidRDefault="006501D2">
      <w:pPr>
        <w:spacing w:before="26" w:after="0"/>
        <w:jc w:val="both"/>
        <w:rPr>
          <w:rFonts w:ascii="Times New Roman" w:hAnsi="Times New Roman"/>
          <w:b/>
          <w:color w:val="569748"/>
          <w:sz w:val="24"/>
          <w:szCs w:val="24"/>
          <w:u w:val="single"/>
        </w:rPr>
      </w:pPr>
    </w:p>
    <w:p w14:paraId="6AA450CE" w14:textId="586F929E" w:rsidR="006501D2" w:rsidRPr="000746EA" w:rsidRDefault="00596CE1">
      <w:pPr>
        <w:spacing w:before="26" w:after="0"/>
        <w:jc w:val="both"/>
        <w:rPr>
          <w:rFonts w:ascii="Times New Roman" w:eastAsiaTheme="minorHAnsi" w:hAnsi="Times New Roman"/>
          <w:bCs/>
          <w:noProof/>
          <w:sz w:val="24"/>
          <w:szCs w:val="24"/>
        </w:rPr>
      </w:pPr>
      <w:r w:rsidRPr="000746EA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431090" w:rsidRPr="000746EA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0746EA">
        <w:rPr>
          <w:rFonts w:ascii="Times New Roman" w:hAnsi="Times New Roman"/>
          <w:b/>
          <w:sz w:val="24"/>
          <w:szCs w:val="24"/>
          <w:lang w:eastAsia="ro-RO"/>
        </w:rPr>
        <w:t>.</w:t>
      </w:r>
      <w:r w:rsidRPr="000746EA">
        <w:rPr>
          <w:rFonts w:ascii="Times New Roman" w:eastAsiaTheme="minorHAnsi" w:hAnsi="Times New Roman"/>
          <w:b/>
          <w:bCs/>
          <w:noProof/>
          <w:sz w:val="24"/>
          <w:szCs w:val="24"/>
        </w:rPr>
        <w:t xml:space="preserve"> La articolul 10, după alineatul (9) se introduc patru noi alineate, alineatele (10)-(13)</w:t>
      </w: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 xml:space="preserve">, </w:t>
      </w:r>
      <w:r w:rsidRPr="000746EA">
        <w:rPr>
          <w:rFonts w:ascii="Times New Roman" w:eastAsiaTheme="minorHAnsi" w:hAnsi="Times New Roman"/>
          <w:b/>
          <w:noProof/>
          <w:sz w:val="24"/>
          <w:szCs w:val="24"/>
        </w:rPr>
        <w:t>cu următorul cuprins</w:t>
      </w:r>
      <w:r w:rsidRPr="000746EA">
        <w:rPr>
          <w:rFonts w:ascii="Times New Roman" w:eastAsiaTheme="minorHAnsi" w:hAnsi="Times New Roman"/>
          <w:b/>
          <w:noProof/>
          <w:sz w:val="24"/>
          <w:szCs w:val="24"/>
        </w:rPr>
        <w:t>:</w:t>
      </w:r>
    </w:p>
    <w:p w14:paraId="3CBCDE54" w14:textId="6247344E" w:rsidR="006501D2" w:rsidRPr="000746EA" w:rsidRDefault="00596CE1">
      <w:pPr>
        <w:spacing w:after="0" w:line="259" w:lineRule="auto"/>
        <w:jc w:val="both"/>
        <w:rPr>
          <w:rFonts w:ascii="Times New Roman" w:eastAsiaTheme="minorHAnsi" w:hAnsi="Times New Roman"/>
          <w:bCs/>
          <w:noProof/>
          <w:sz w:val="24"/>
          <w:szCs w:val="24"/>
        </w:rPr>
      </w:pP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 xml:space="preserve">„(10) Persoanele juridice prevăzute alin. (9)  trebuie să respecte termenele prevăzute în Instrucţiunile de utilizare a </w:t>
      </w: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>aplicaţiei informatice Sistemul informatic de asigurare a trasabilităţii deşeurilor (SIATD), în vederea monitorizării şi verificării corectitudinii tranzacţiilor cu deşeuri de ambalaje, anvelope, echipamente electrice și electronice</w:t>
      </w:r>
      <w:r w:rsidR="00413E56" w:rsidRPr="000746EA">
        <w:rPr>
          <w:rFonts w:ascii="Times New Roman" w:eastAsiaTheme="minorHAnsi" w:hAnsi="Times New Roman"/>
          <w:bCs/>
          <w:noProof/>
          <w:sz w:val="24"/>
          <w:szCs w:val="24"/>
        </w:rPr>
        <w:t>,</w:t>
      </w: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 xml:space="preserve"> baterii</w:t>
      </w:r>
      <w:r w:rsidR="00413E56" w:rsidRPr="000746EA">
        <w:rPr>
          <w:rFonts w:ascii="Times New Roman" w:eastAsiaTheme="minorHAnsi" w:hAnsi="Times New Roman"/>
          <w:bCs/>
          <w:noProof/>
          <w:sz w:val="24"/>
          <w:szCs w:val="24"/>
        </w:rPr>
        <w:t xml:space="preserve"> și</w:t>
      </w:r>
      <w:r w:rsidR="00413E56" w:rsidRPr="000746EA">
        <w:t xml:space="preserve"> </w:t>
      </w:r>
      <w:r w:rsidR="00413E56" w:rsidRPr="000746EA">
        <w:rPr>
          <w:rFonts w:ascii="Times New Roman" w:eastAsiaTheme="minorHAnsi" w:hAnsi="Times New Roman"/>
          <w:bCs/>
          <w:noProof/>
          <w:sz w:val="24"/>
          <w:szCs w:val="24"/>
        </w:rPr>
        <w:t>acumulatori portabili</w:t>
      </w: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 xml:space="preserve"> în sistemul răspunderii extinse a producătorului, aprobate prin ordinul ministrului autorităţii publice centrale pentru protecţia mediului.</w:t>
      </w:r>
    </w:p>
    <w:p w14:paraId="34AA2125" w14:textId="707E3F33" w:rsidR="006501D2" w:rsidRPr="000746EA" w:rsidRDefault="00596CE1">
      <w:pPr>
        <w:spacing w:after="0" w:line="254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746EA">
        <w:rPr>
          <w:rFonts w:ascii="Times New Roman" w:hAnsi="Times New Roman"/>
          <w:sz w:val="24"/>
          <w:szCs w:val="24"/>
        </w:rPr>
        <w:t xml:space="preserve">(11) </w:t>
      </w: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 xml:space="preserve">Începând cu data de 1 ianuarie 2023, aplicația informatică SIATD </w:t>
      </w:r>
      <w:r w:rsidRPr="000746EA">
        <w:rPr>
          <w:rFonts w:ascii="Times New Roman" w:hAnsi="Times New Roman"/>
          <w:iCs/>
          <w:sz w:val="24"/>
          <w:szCs w:val="24"/>
        </w:rPr>
        <w:t>se utilizează de către</w:t>
      </w:r>
      <w:r w:rsidRPr="000746E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 xml:space="preserve">persoanele </w:t>
      </w: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>juridice prevăzute la art. 9 alin. (1) lit. v) pct. 2. şi y) care gestionează anvelope, baterii</w:t>
      </w:r>
      <w:r w:rsidR="00C463C6" w:rsidRPr="000746EA">
        <w:rPr>
          <w:rFonts w:ascii="Times New Roman" w:eastAsiaTheme="minorHAnsi" w:hAnsi="Times New Roman"/>
          <w:bCs/>
          <w:noProof/>
          <w:sz w:val="24"/>
          <w:szCs w:val="24"/>
        </w:rPr>
        <w:t xml:space="preserve">, acumulatori portabili </w:t>
      </w: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>ș</w:t>
      </w: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>i echipamente electrice și electronice.</w:t>
      </w:r>
    </w:p>
    <w:p w14:paraId="7DC6601B" w14:textId="77777777" w:rsidR="006501D2" w:rsidRPr="000746EA" w:rsidRDefault="00596C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EA">
        <w:rPr>
          <w:rFonts w:ascii="Times New Roman" w:hAnsi="Times New Roman"/>
          <w:bCs/>
          <w:sz w:val="24"/>
          <w:szCs w:val="24"/>
        </w:rPr>
        <w:t xml:space="preserve">(12) Începând cu 1 ianuarie 2024, </w:t>
      </w:r>
      <w:proofErr w:type="spellStart"/>
      <w:r w:rsidRPr="000746EA">
        <w:rPr>
          <w:rFonts w:ascii="Times New Roman" w:hAnsi="Times New Roman"/>
          <w:bCs/>
          <w:sz w:val="24"/>
          <w:szCs w:val="24"/>
        </w:rPr>
        <w:t>aplicaţia</w:t>
      </w:r>
      <w:proofErr w:type="spellEnd"/>
      <w:r w:rsidRPr="000746EA">
        <w:rPr>
          <w:rFonts w:ascii="Times New Roman" w:hAnsi="Times New Roman"/>
          <w:bCs/>
          <w:sz w:val="24"/>
          <w:szCs w:val="24"/>
        </w:rPr>
        <w:t xml:space="preserve"> informatică SIATD se utilizează de către persoanele </w:t>
      </w:r>
      <w:r w:rsidRPr="000746EA">
        <w:rPr>
          <w:rFonts w:ascii="Times New Roman" w:hAnsi="Times New Roman"/>
          <w:bCs/>
          <w:sz w:val="24"/>
          <w:szCs w:val="24"/>
        </w:rPr>
        <w:t xml:space="preserve">juridice care gestionează </w:t>
      </w:r>
      <w:proofErr w:type="spellStart"/>
      <w:r w:rsidRPr="000746EA">
        <w:rPr>
          <w:rFonts w:ascii="Times New Roman" w:hAnsi="Times New Roman"/>
          <w:bCs/>
          <w:sz w:val="24"/>
          <w:szCs w:val="24"/>
        </w:rPr>
        <w:t>deşeuri</w:t>
      </w:r>
      <w:proofErr w:type="spellEnd"/>
      <w:r w:rsidRPr="000746EA">
        <w:rPr>
          <w:rFonts w:ascii="Times New Roman" w:hAnsi="Times New Roman"/>
          <w:bCs/>
          <w:sz w:val="24"/>
          <w:szCs w:val="24"/>
        </w:rPr>
        <w:t xml:space="preserve"> municipale. Instrucțiunile de utilizare a aplicației informatice SIATD de către persoanele juridice care gestionează </w:t>
      </w:r>
      <w:proofErr w:type="spellStart"/>
      <w:r w:rsidRPr="000746EA">
        <w:rPr>
          <w:rFonts w:ascii="Times New Roman" w:hAnsi="Times New Roman"/>
          <w:bCs/>
          <w:sz w:val="24"/>
          <w:szCs w:val="24"/>
        </w:rPr>
        <w:t>deşeuri</w:t>
      </w:r>
      <w:proofErr w:type="spellEnd"/>
      <w:r w:rsidRPr="000746EA">
        <w:rPr>
          <w:rFonts w:ascii="Times New Roman" w:hAnsi="Times New Roman"/>
          <w:bCs/>
          <w:sz w:val="24"/>
          <w:szCs w:val="24"/>
        </w:rPr>
        <w:t xml:space="preserve"> municipale se aprobă prin ordinul ministrului </w:t>
      </w:r>
      <w:proofErr w:type="spellStart"/>
      <w:r w:rsidRPr="000746EA">
        <w:rPr>
          <w:rFonts w:ascii="Times New Roman" w:hAnsi="Times New Roman"/>
          <w:bCs/>
          <w:sz w:val="24"/>
          <w:szCs w:val="24"/>
        </w:rPr>
        <w:t>autorităţii</w:t>
      </w:r>
      <w:proofErr w:type="spellEnd"/>
      <w:r w:rsidRPr="000746EA">
        <w:rPr>
          <w:rFonts w:ascii="Times New Roman" w:hAnsi="Times New Roman"/>
          <w:bCs/>
          <w:sz w:val="24"/>
          <w:szCs w:val="24"/>
        </w:rPr>
        <w:t xml:space="preserve"> publice centrale pentru </w:t>
      </w:r>
      <w:proofErr w:type="spellStart"/>
      <w:r w:rsidRPr="000746EA">
        <w:rPr>
          <w:rFonts w:ascii="Times New Roman" w:hAnsi="Times New Roman"/>
          <w:bCs/>
          <w:sz w:val="24"/>
          <w:szCs w:val="24"/>
        </w:rPr>
        <w:t>protecţia</w:t>
      </w:r>
      <w:proofErr w:type="spellEnd"/>
      <w:r w:rsidRPr="000746EA">
        <w:rPr>
          <w:rFonts w:ascii="Times New Roman" w:hAnsi="Times New Roman"/>
          <w:bCs/>
          <w:sz w:val="24"/>
          <w:szCs w:val="24"/>
        </w:rPr>
        <w:t xml:space="preserve"> mediu</w:t>
      </w:r>
      <w:r w:rsidRPr="000746EA">
        <w:rPr>
          <w:rFonts w:ascii="Times New Roman" w:hAnsi="Times New Roman"/>
          <w:bCs/>
          <w:sz w:val="24"/>
          <w:szCs w:val="24"/>
        </w:rPr>
        <w:t xml:space="preserve">lui, la inițiativa Administrației Fondului pentru Mediu, </w:t>
      </w:r>
      <w:r w:rsidRPr="000746EA">
        <w:rPr>
          <w:rFonts w:ascii="Times New Roman" w:hAnsi="Times New Roman"/>
          <w:sz w:val="24"/>
          <w:szCs w:val="24"/>
        </w:rPr>
        <w:t xml:space="preserve"> </w:t>
      </w:r>
      <w:r w:rsidRPr="000746EA">
        <w:rPr>
          <w:rFonts w:ascii="Times New Roman" w:hAnsi="Times New Roman"/>
          <w:bCs/>
          <w:sz w:val="24"/>
          <w:szCs w:val="24"/>
        </w:rPr>
        <w:t xml:space="preserve">în termen de 180 de zile de la intrarea în vigoare a prezentei </w:t>
      </w:r>
      <w:proofErr w:type="spellStart"/>
      <w:r w:rsidRPr="000746EA">
        <w:rPr>
          <w:rFonts w:ascii="Times New Roman" w:hAnsi="Times New Roman"/>
          <w:bCs/>
          <w:sz w:val="24"/>
          <w:szCs w:val="24"/>
        </w:rPr>
        <w:t>ordonanţe</w:t>
      </w:r>
      <w:proofErr w:type="spellEnd"/>
      <w:r w:rsidRPr="000746EA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0746EA">
        <w:rPr>
          <w:rFonts w:ascii="Times New Roman" w:hAnsi="Times New Roman"/>
          <w:bCs/>
          <w:sz w:val="24"/>
          <w:szCs w:val="24"/>
        </w:rPr>
        <w:t>urgenţă</w:t>
      </w:r>
      <w:proofErr w:type="spellEnd"/>
      <w:r w:rsidRPr="000746EA">
        <w:rPr>
          <w:rFonts w:ascii="Times New Roman" w:hAnsi="Times New Roman"/>
          <w:bCs/>
          <w:sz w:val="24"/>
          <w:szCs w:val="24"/>
        </w:rPr>
        <w:t>.</w:t>
      </w:r>
    </w:p>
    <w:p w14:paraId="3E61D994" w14:textId="77777777" w:rsidR="006501D2" w:rsidRPr="000746EA" w:rsidRDefault="00596CE1">
      <w:pPr>
        <w:spacing w:after="0" w:line="25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46EA">
        <w:rPr>
          <w:rFonts w:ascii="Times New Roman" w:eastAsia="Times New Roman" w:hAnsi="Times New Roman"/>
          <w:sz w:val="24"/>
          <w:szCs w:val="24"/>
        </w:rPr>
        <w:t xml:space="preserve">(13) </w:t>
      </w:r>
      <w:proofErr w:type="spellStart"/>
      <w:r w:rsidRPr="000746EA">
        <w:rPr>
          <w:rFonts w:ascii="Times New Roman" w:eastAsia="Times New Roman" w:hAnsi="Times New Roman"/>
          <w:sz w:val="24"/>
          <w:szCs w:val="24"/>
        </w:rPr>
        <w:t>Aplicaţia</w:t>
      </w:r>
      <w:proofErr w:type="spellEnd"/>
      <w:r w:rsidRPr="000746EA">
        <w:rPr>
          <w:rFonts w:ascii="Times New Roman" w:eastAsia="Times New Roman" w:hAnsi="Times New Roman"/>
          <w:sz w:val="24"/>
          <w:szCs w:val="24"/>
        </w:rPr>
        <w:t xml:space="preserve"> informatică SIATD se utilizează și de către operatorii economici </w:t>
      </w:r>
      <w:r w:rsidRPr="000746EA">
        <w:rPr>
          <w:rFonts w:ascii="Times New Roman" w:hAnsi="Times New Roman"/>
          <w:sz w:val="24"/>
          <w:szCs w:val="24"/>
        </w:rPr>
        <w:t>care transferă transfrontalier de</w:t>
      </w:r>
      <w:r w:rsidRPr="000746EA">
        <w:rPr>
          <w:rFonts w:ascii="Times New Roman" w:hAnsi="Times New Roman"/>
          <w:sz w:val="24"/>
          <w:szCs w:val="24"/>
        </w:rPr>
        <w:t>ș</w:t>
      </w:r>
      <w:r w:rsidRPr="000746EA">
        <w:rPr>
          <w:rFonts w:ascii="Times New Roman" w:hAnsi="Times New Roman"/>
          <w:sz w:val="24"/>
          <w:szCs w:val="24"/>
        </w:rPr>
        <w:t>euri în vederea valorificării în România</w:t>
      </w:r>
      <w:r w:rsidRPr="000746EA">
        <w:rPr>
          <w:rFonts w:ascii="Times New Roman" w:eastAsia="Times New Roman" w:hAnsi="Times New Roman"/>
          <w:sz w:val="24"/>
          <w:szCs w:val="24"/>
        </w:rPr>
        <w:t xml:space="preserve">.” </w:t>
      </w:r>
    </w:p>
    <w:p w14:paraId="4AE4E0A7" w14:textId="77777777" w:rsidR="006501D2" w:rsidRPr="000746EA" w:rsidRDefault="006501D2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</w:p>
    <w:p w14:paraId="498B30FF" w14:textId="1EF10C89" w:rsidR="006501D2" w:rsidRPr="000746EA" w:rsidRDefault="00596C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 w:rsidRPr="000746EA">
        <w:rPr>
          <w:rFonts w:ascii="Times New Roman" w:hAnsi="Times New Roman"/>
          <w:b/>
          <w:bCs/>
          <w:sz w:val="24"/>
          <w:szCs w:val="24"/>
        </w:rPr>
        <w:t>1</w:t>
      </w:r>
      <w:r w:rsidR="00431090" w:rsidRPr="000746EA">
        <w:rPr>
          <w:rFonts w:ascii="Times New Roman" w:hAnsi="Times New Roman"/>
          <w:b/>
          <w:bCs/>
          <w:sz w:val="24"/>
          <w:szCs w:val="24"/>
        </w:rPr>
        <w:t>4</w:t>
      </w:r>
      <w:r w:rsidRPr="000746E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746E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La articolul 11,  alineatul (2) se modifică </w:t>
      </w:r>
      <w:proofErr w:type="spellStart"/>
      <w:r w:rsidRPr="000746E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şi</w:t>
      </w:r>
      <w:proofErr w:type="spellEnd"/>
      <w:r w:rsidRPr="000746E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va avea următorul cuprins:</w:t>
      </w:r>
    </w:p>
    <w:p w14:paraId="7BE387AA" w14:textId="785A826E" w:rsidR="006501D2" w:rsidRPr="000746EA" w:rsidRDefault="00596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>„(2) Sumele prevăzute la art. 9 alin. (1) lit. d), i), j), p), v), w)</w:t>
      </w:r>
      <w:r w:rsidR="002B10BC"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 și</w:t>
      </w:r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 x) se declară </w:t>
      </w:r>
      <w:proofErr w:type="spellStart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>şi</w:t>
      </w:r>
      <w:proofErr w:type="spellEnd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 se plătesc anual de către persoanele juridice, după caz, care desfășoară respectivele </w:t>
      </w:r>
      <w:proofErr w:type="spellStart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>activităţi</w:t>
      </w:r>
      <w:proofErr w:type="spellEnd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>, până la data de 25 ianuarie inclusiv a anului următor.”</w:t>
      </w:r>
    </w:p>
    <w:p w14:paraId="62D88D93" w14:textId="77777777" w:rsidR="006501D2" w:rsidRPr="000746EA" w:rsidRDefault="006501D2">
      <w:pPr>
        <w:spacing w:before="26" w:after="0" w:line="254" w:lineRule="auto"/>
        <w:jc w:val="both"/>
        <w:rPr>
          <w:rFonts w:ascii="Times New Roman" w:eastAsiaTheme="minorHAnsi" w:hAnsi="Times New Roman"/>
          <w:bCs/>
          <w:i/>
          <w:iCs/>
          <w:noProof/>
          <w:sz w:val="24"/>
          <w:szCs w:val="24"/>
        </w:rPr>
      </w:pPr>
    </w:p>
    <w:p w14:paraId="28BC3451" w14:textId="1A4B3A96" w:rsidR="006501D2" w:rsidRPr="000746EA" w:rsidRDefault="00596C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46EA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431090" w:rsidRPr="000746EA">
        <w:rPr>
          <w:rFonts w:ascii="Times New Roman" w:hAnsi="Times New Roman"/>
          <w:b/>
          <w:sz w:val="24"/>
          <w:szCs w:val="24"/>
          <w:lang w:eastAsia="ro-RO"/>
        </w:rPr>
        <w:t>5</w:t>
      </w:r>
      <w:r w:rsidRPr="000746EA">
        <w:rPr>
          <w:rFonts w:ascii="Times New Roman" w:hAnsi="Times New Roman"/>
          <w:b/>
          <w:sz w:val="24"/>
          <w:szCs w:val="24"/>
          <w:lang w:eastAsia="ro-RO"/>
        </w:rPr>
        <w:t xml:space="preserve">. La </w:t>
      </w:r>
      <w:r w:rsidRPr="000746EA">
        <w:rPr>
          <w:rFonts w:ascii="Times New Roman" w:eastAsia="Times New Roman" w:hAnsi="Times New Roman"/>
          <w:b/>
          <w:sz w:val="24"/>
          <w:szCs w:val="24"/>
          <w:lang w:eastAsia="ro-RO"/>
        </w:rPr>
        <w:t>articolul 11, alineatul (2^1)</w:t>
      </w:r>
      <w:r w:rsidRPr="000746EA">
        <w:rPr>
          <w:rFonts w:ascii="Times New Roman" w:eastAsia="Times New Roman" w:hAnsi="Times New Roman"/>
          <w:b/>
          <w:sz w:val="24"/>
          <w:szCs w:val="24"/>
          <w:vertAlign w:val="superscript"/>
          <w:lang w:eastAsia="ro-RO"/>
        </w:rPr>
        <w:t xml:space="preserve"> </w:t>
      </w:r>
      <w:r w:rsidRPr="000746EA">
        <w:rPr>
          <w:rFonts w:ascii="Times New Roman" w:eastAsia="Times New Roman" w:hAnsi="Times New Roman"/>
          <w:b/>
          <w:sz w:val="24"/>
          <w:szCs w:val="24"/>
          <w:lang w:eastAsia="ro-RO"/>
        </w:rPr>
        <w:t>se modifică și va avea următorul cuprins</w:t>
      </w:r>
      <w:r w:rsidRPr="000746EA">
        <w:rPr>
          <w:rFonts w:ascii="Times New Roman" w:hAnsi="Times New Roman"/>
          <w:color w:val="000000"/>
          <w:sz w:val="24"/>
          <w:szCs w:val="24"/>
        </w:rPr>
        <w:t>:</w:t>
      </w:r>
      <w:r w:rsidRPr="000746E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72FE130" w14:textId="77777777" w:rsidR="006501D2" w:rsidRPr="000746EA" w:rsidRDefault="00596C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46EA">
        <w:rPr>
          <w:rFonts w:ascii="Times New Roman" w:hAnsi="Times New Roman"/>
          <w:color w:val="000000"/>
          <w:sz w:val="24"/>
          <w:szCs w:val="24"/>
        </w:rPr>
        <w:t xml:space="preserve">„(2^1) Sumele prevăzute la art. 9 alin. (1) lit. q) se declară </w:t>
      </w:r>
      <w:proofErr w:type="spellStart"/>
      <w:r w:rsidRPr="000746EA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color w:val="000000"/>
          <w:sz w:val="24"/>
          <w:szCs w:val="24"/>
        </w:rPr>
        <w:t xml:space="preserve"> se plătesc trimestrial de către persoanele juridice care </w:t>
      </w:r>
      <w:proofErr w:type="spellStart"/>
      <w:r w:rsidRPr="000746EA">
        <w:rPr>
          <w:rFonts w:ascii="Times New Roman" w:hAnsi="Times New Roman"/>
          <w:color w:val="000000"/>
          <w:sz w:val="24"/>
          <w:szCs w:val="24"/>
        </w:rPr>
        <w:t>desfăşoară</w:t>
      </w:r>
      <w:proofErr w:type="spellEnd"/>
      <w:r w:rsidRPr="000746EA">
        <w:rPr>
          <w:rFonts w:ascii="Times New Roman" w:hAnsi="Times New Roman"/>
          <w:color w:val="000000"/>
          <w:sz w:val="24"/>
          <w:szCs w:val="24"/>
        </w:rPr>
        <w:t xml:space="preserve"> respectivele </w:t>
      </w:r>
      <w:proofErr w:type="spellStart"/>
      <w:r w:rsidRPr="000746EA">
        <w:rPr>
          <w:rFonts w:ascii="Times New Roman" w:hAnsi="Times New Roman"/>
          <w:color w:val="000000"/>
          <w:sz w:val="24"/>
          <w:szCs w:val="24"/>
        </w:rPr>
        <w:t>activităţi</w:t>
      </w:r>
      <w:proofErr w:type="spellEnd"/>
      <w:r w:rsidRPr="000746EA">
        <w:rPr>
          <w:rFonts w:ascii="Times New Roman" w:hAnsi="Times New Roman"/>
          <w:color w:val="000000"/>
          <w:sz w:val="24"/>
          <w:szCs w:val="24"/>
        </w:rPr>
        <w:t xml:space="preserve">, până la data de 25 a lunii următoare trimestrului în care s-a </w:t>
      </w:r>
      <w:proofErr w:type="spellStart"/>
      <w:r w:rsidRPr="000746EA">
        <w:rPr>
          <w:rFonts w:ascii="Times New Roman" w:hAnsi="Times New Roman"/>
          <w:color w:val="000000"/>
          <w:sz w:val="24"/>
          <w:szCs w:val="24"/>
        </w:rPr>
        <w:t>desfăşurat</w:t>
      </w:r>
      <w:proofErr w:type="spellEnd"/>
      <w:r w:rsidRPr="000746EA">
        <w:rPr>
          <w:rFonts w:ascii="Times New Roman" w:hAnsi="Times New Roman"/>
          <w:color w:val="000000"/>
          <w:sz w:val="24"/>
          <w:szCs w:val="24"/>
        </w:rPr>
        <w:t xml:space="preserve"> activitatea. Operatorii </w:t>
      </w:r>
      <w:r w:rsidRPr="000746EA">
        <w:rPr>
          <w:rFonts w:ascii="Times New Roman" w:hAnsi="Times New Roman"/>
          <w:color w:val="000000"/>
          <w:sz w:val="24"/>
          <w:szCs w:val="24"/>
        </w:rPr>
        <w:t xml:space="preserve">economici vor declara trimestrial numărul de pungi, fiecare material component al pungilor de transport, precum și </w:t>
      </w:r>
      <w:r w:rsidRPr="000746EA">
        <w:rPr>
          <w:rFonts w:ascii="Times New Roman" w:hAnsi="Times New Roman"/>
          <w:iCs/>
          <w:sz w:val="24"/>
          <w:szCs w:val="24"/>
        </w:rPr>
        <w:t>grosimea peretelui pungilor de transport</w:t>
      </w:r>
      <w:r w:rsidRPr="000746EA">
        <w:rPr>
          <w:rFonts w:ascii="Times New Roman" w:hAnsi="Times New Roman"/>
          <w:color w:val="000000"/>
          <w:sz w:val="24"/>
          <w:szCs w:val="24"/>
        </w:rPr>
        <w:t>.”</w:t>
      </w:r>
    </w:p>
    <w:p w14:paraId="2E39EEB0" w14:textId="77777777" w:rsidR="00203737" w:rsidRPr="000746EA" w:rsidRDefault="002037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F5D855" w14:textId="27839C7F" w:rsidR="00FA26C1" w:rsidRPr="000746EA" w:rsidRDefault="00596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b/>
          <w:sz w:val="24"/>
          <w:szCs w:val="24"/>
          <w:lang w:eastAsia="ro-RO"/>
        </w:rPr>
        <w:t>1</w:t>
      </w:r>
      <w:r w:rsidR="00431090" w:rsidRPr="000746EA">
        <w:rPr>
          <w:rFonts w:ascii="Times New Roman" w:eastAsia="Times New Roman" w:hAnsi="Times New Roman"/>
          <w:b/>
          <w:sz w:val="24"/>
          <w:szCs w:val="24"/>
          <w:lang w:eastAsia="ro-RO"/>
        </w:rPr>
        <w:t>6</w:t>
      </w:r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. </w:t>
      </w:r>
      <w:r w:rsidRPr="000746E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La articolul 11, după alineatul (2^</w:t>
      </w:r>
      <w:r w:rsidR="00B86270" w:rsidRPr="000746E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3</w:t>
      </w:r>
      <w:r w:rsidRPr="000746E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), se introduce un nou alineat, alineatul (2</w:t>
      </w:r>
      <w:r w:rsidRPr="000746EA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o-RO"/>
        </w:rPr>
        <w:t>^</w:t>
      </w:r>
      <w:r w:rsidR="00B86270" w:rsidRPr="000746E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4</w:t>
      </w:r>
      <w:r w:rsidRPr="000746E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) cu urm</w:t>
      </w:r>
      <w:r w:rsidRPr="000746E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ătorul</w:t>
      </w:r>
      <w:r w:rsidRPr="000746E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cuprins:</w:t>
      </w:r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</w:p>
    <w:p w14:paraId="1B313560" w14:textId="5CCFA217" w:rsidR="006501D2" w:rsidRPr="000746EA" w:rsidRDefault="00596CE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lastRenderedPageBreak/>
        <w:t>“</w:t>
      </w:r>
      <w:r w:rsidR="00FA26C1" w:rsidRPr="000746EA">
        <w:rPr>
          <w:rFonts w:ascii="Times New Roman" w:eastAsia="Times New Roman" w:hAnsi="Times New Roman"/>
          <w:sz w:val="24"/>
          <w:szCs w:val="24"/>
          <w:lang w:eastAsia="ro-RO"/>
        </w:rPr>
        <w:t>(2^</w:t>
      </w:r>
      <w:r w:rsidR="00B86270" w:rsidRPr="000746EA">
        <w:rPr>
          <w:rFonts w:ascii="Times New Roman" w:eastAsia="Times New Roman" w:hAnsi="Times New Roman"/>
          <w:sz w:val="24"/>
          <w:szCs w:val="24"/>
          <w:lang w:eastAsia="ro-RO"/>
        </w:rPr>
        <w:t>4</w:t>
      </w:r>
      <w:r w:rsidR="00FA26C1"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) </w:t>
      </w:r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In cazul operatorilor economici care au </w:t>
      </w:r>
      <w:r w:rsidR="00C87A86" w:rsidRPr="000746EA">
        <w:rPr>
          <w:rFonts w:ascii="Times New Roman" w:eastAsia="Times New Roman" w:hAnsi="Times New Roman"/>
          <w:sz w:val="24"/>
          <w:szCs w:val="24"/>
          <w:lang w:eastAsia="ro-RO"/>
        </w:rPr>
        <w:t>î</w:t>
      </w:r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ncheiat contracte cu operatorii autorizați prevăzuți la art. 9  alin. </w:t>
      </w:r>
      <w:r w:rsidR="00B71967" w:rsidRPr="000746EA">
        <w:rPr>
          <w:rFonts w:ascii="Times New Roman" w:eastAsia="Times New Roman" w:hAnsi="Times New Roman"/>
          <w:sz w:val="24"/>
          <w:szCs w:val="24"/>
          <w:lang w:eastAsia="ro-RO"/>
        </w:rPr>
        <w:t>(</w:t>
      </w:r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>1</w:t>
      </w:r>
      <w:r w:rsidR="00B71967" w:rsidRPr="000746EA">
        <w:rPr>
          <w:rFonts w:ascii="Times New Roman" w:eastAsia="Times New Roman" w:hAnsi="Times New Roman"/>
          <w:sz w:val="24"/>
          <w:szCs w:val="24"/>
          <w:lang w:eastAsia="ro-RO"/>
        </w:rPr>
        <w:t>)</w:t>
      </w:r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 lit. v), </w:t>
      </w:r>
      <w:r w:rsidRPr="000746EA"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sumele prevăzute la </w:t>
      </w:r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>art. 9 alin. (1) lit. d) se</w:t>
      </w:r>
      <w:r w:rsidRPr="000746EA"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 stabilesc prin decizie emisă de Administraţia Fondului pentru Mediu, după executarea garanției prevăzute la </w:t>
      </w:r>
      <w:r w:rsidR="00B71967" w:rsidRPr="000746EA">
        <w:rPr>
          <w:rFonts w:ascii="Times New Roman" w:eastAsia="Times New Roman" w:hAnsi="Times New Roman"/>
          <w:noProof/>
          <w:sz w:val="24"/>
          <w:szCs w:val="24"/>
          <w:lang w:eastAsia="ro-RO"/>
        </w:rPr>
        <w:t>a</w:t>
      </w:r>
      <w:r w:rsidRPr="000746EA"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rt. 16 alin. </w:t>
      </w:r>
      <w:r w:rsidR="00B71967" w:rsidRPr="000746EA">
        <w:rPr>
          <w:rFonts w:ascii="Times New Roman" w:eastAsia="Times New Roman" w:hAnsi="Times New Roman"/>
          <w:noProof/>
          <w:sz w:val="24"/>
          <w:szCs w:val="24"/>
          <w:lang w:eastAsia="ro-RO"/>
        </w:rPr>
        <w:t>(</w:t>
      </w:r>
      <w:r w:rsidRPr="000746EA">
        <w:rPr>
          <w:rFonts w:ascii="Times New Roman" w:eastAsia="Times New Roman" w:hAnsi="Times New Roman"/>
          <w:noProof/>
          <w:sz w:val="24"/>
          <w:szCs w:val="24"/>
          <w:lang w:eastAsia="ro-RO"/>
        </w:rPr>
        <w:t>8</w:t>
      </w:r>
      <w:r w:rsidR="00B71967" w:rsidRPr="000746EA">
        <w:rPr>
          <w:rFonts w:ascii="Times New Roman" w:eastAsia="Times New Roman" w:hAnsi="Times New Roman"/>
          <w:noProof/>
          <w:sz w:val="24"/>
          <w:szCs w:val="24"/>
          <w:lang w:eastAsia="ro-RO"/>
        </w:rPr>
        <w:t>)</w:t>
      </w:r>
      <w:r w:rsidRPr="000746EA"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 lit. e) din Legea nr. 249/2015 </w:t>
      </w:r>
      <w:r w:rsidRPr="000746EA">
        <w:rPr>
          <w:rFonts w:ascii="Times New Roman" w:hAnsi="Times New Roman"/>
          <w:sz w:val="24"/>
          <w:szCs w:val="24"/>
        </w:rPr>
        <w:t xml:space="preserve">privind modalitatea de gestionare a ambalajelor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746EA">
        <w:rPr>
          <w:rFonts w:ascii="Times New Roman" w:hAnsi="Times New Roman"/>
          <w:sz w:val="24"/>
          <w:szCs w:val="24"/>
        </w:rPr>
        <w:t>deşeurilor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de ambalaje, cu modificările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co</w:t>
      </w:r>
      <w:r w:rsidRPr="000746EA">
        <w:rPr>
          <w:rFonts w:ascii="Times New Roman" w:hAnsi="Times New Roman"/>
          <w:sz w:val="24"/>
          <w:szCs w:val="24"/>
        </w:rPr>
        <w:t>mpletările ulterioare</w:t>
      </w:r>
      <w:r w:rsidRPr="000746EA"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 și se plătesc în funcţie de data comunicării deciziei, astfel:</w:t>
      </w:r>
    </w:p>
    <w:p w14:paraId="49D971BA" w14:textId="77777777" w:rsidR="006501D2" w:rsidRPr="000746EA" w:rsidRDefault="00596CE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noProof/>
          <w:sz w:val="24"/>
          <w:szCs w:val="24"/>
          <w:lang w:eastAsia="ro-RO"/>
        </w:rPr>
        <w:t>a) dacă data comunicării este cuprinsă în intervalul 1-15 din lună, termenul de plată este până la data de 5 a lunii următoare, inclusiv;</w:t>
      </w:r>
    </w:p>
    <w:p w14:paraId="35ECBBD8" w14:textId="77777777" w:rsidR="006501D2" w:rsidRPr="000746EA" w:rsidRDefault="00596CE1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noProof/>
          <w:sz w:val="24"/>
          <w:szCs w:val="24"/>
          <w:lang w:eastAsia="ro-RO"/>
        </w:rPr>
        <w:t>b) dacă data comunicării este cup</w:t>
      </w:r>
      <w:r w:rsidRPr="000746EA"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rinsă în intervalul 16-31 din lună, termenul de plată este până la data de 20 a lunii următoare, inclusiv. </w:t>
      </w:r>
    </w:p>
    <w:p w14:paraId="55EF2E0D" w14:textId="77777777" w:rsidR="006501D2" w:rsidRPr="000746EA" w:rsidRDefault="00596CE1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46EA"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Instrucțiunile privind emiterea deciziei se aprobă prin ordin </w:t>
      </w:r>
      <w:r w:rsidRPr="000746EA">
        <w:rPr>
          <w:rFonts w:ascii="Times New Roman" w:hAnsi="Times New Roman"/>
          <w:sz w:val="24"/>
          <w:szCs w:val="24"/>
        </w:rPr>
        <w:t xml:space="preserve">al conducătorului </w:t>
      </w:r>
      <w:proofErr w:type="spellStart"/>
      <w:r w:rsidRPr="000746EA">
        <w:rPr>
          <w:rFonts w:ascii="Times New Roman" w:hAnsi="Times New Roman"/>
          <w:sz w:val="24"/>
          <w:szCs w:val="24"/>
        </w:rPr>
        <w:t>autorităţii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publice centrale pentru </w:t>
      </w:r>
      <w:proofErr w:type="spellStart"/>
      <w:r w:rsidRPr="000746EA">
        <w:rPr>
          <w:rFonts w:ascii="Times New Roman" w:hAnsi="Times New Roman"/>
          <w:sz w:val="24"/>
          <w:szCs w:val="24"/>
        </w:rPr>
        <w:t>protecţia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mediului, la inițiativ</w:t>
      </w:r>
      <w:r w:rsidRPr="000746EA">
        <w:rPr>
          <w:rFonts w:ascii="Times New Roman" w:hAnsi="Times New Roman"/>
          <w:sz w:val="24"/>
          <w:szCs w:val="24"/>
        </w:rPr>
        <w:t xml:space="preserve">a 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>Administrației Fondului pentru Mediu</w:t>
      </w:r>
      <w:r w:rsidRPr="000746EA">
        <w:rPr>
          <w:rFonts w:ascii="Times New Roman" w:hAnsi="Times New Roman"/>
          <w:sz w:val="24"/>
          <w:szCs w:val="24"/>
        </w:rPr>
        <w:t>.</w:t>
      </w:r>
      <w:r w:rsidRPr="000746EA">
        <w:rPr>
          <w:rFonts w:ascii="Times New Roman" w:hAnsi="Times New Roman"/>
          <w:sz w:val="24"/>
          <w:szCs w:val="24"/>
        </w:rPr>
        <w:t>”</w:t>
      </w:r>
    </w:p>
    <w:p w14:paraId="53C687BB" w14:textId="77777777" w:rsidR="006501D2" w:rsidRPr="000746EA" w:rsidRDefault="006501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51F711" w14:textId="42EE412D" w:rsidR="006501D2" w:rsidRPr="000746EA" w:rsidRDefault="00596CE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746EA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431090" w:rsidRPr="000746EA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0746EA">
        <w:rPr>
          <w:rFonts w:ascii="Times New Roman" w:hAnsi="Times New Roman"/>
          <w:b/>
          <w:bCs/>
          <w:color w:val="000000"/>
          <w:sz w:val="24"/>
          <w:szCs w:val="24"/>
        </w:rPr>
        <w:t>. La articolul 11, alineatul (3) se modifică și va avea următorul cuprins</w:t>
      </w:r>
      <w:r w:rsidRPr="000746EA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1D7FEA65" w14:textId="77777777" w:rsidR="006501D2" w:rsidRPr="000746EA" w:rsidRDefault="00596C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46EA">
        <w:rPr>
          <w:rFonts w:ascii="Times New Roman" w:hAnsi="Times New Roman"/>
          <w:color w:val="000000"/>
          <w:sz w:val="24"/>
          <w:szCs w:val="24"/>
        </w:rPr>
        <w:t xml:space="preserve">“(3) </w:t>
      </w:r>
      <w:proofErr w:type="spellStart"/>
      <w:r w:rsidRPr="000746EA">
        <w:rPr>
          <w:rFonts w:ascii="Times New Roman" w:hAnsi="Times New Roman"/>
          <w:color w:val="000000"/>
          <w:sz w:val="24"/>
          <w:szCs w:val="24"/>
        </w:rPr>
        <w:t>Declaraţia</w:t>
      </w:r>
      <w:proofErr w:type="spellEnd"/>
      <w:r w:rsidRPr="000746EA">
        <w:rPr>
          <w:rFonts w:ascii="Times New Roman" w:hAnsi="Times New Roman"/>
          <w:color w:val="000000"/>
          <w:sz w:val="24"/>
          <w:szCs w:val="24"/>
        </w:rPr>
        <w:t xml:space="preserve"> se depune la </w:t>
      </w:r>
      <w:proofErr w:type="spellStart"/>
      <w:r w:rsidRPr="000746EA">
        <w:rPr>
          <w:rFonts w:ascii="Times New Roman" w:hAnsi="Times New Roman"/>
          <w:color w:val="000000"/>
          <w:sz w:val="24"/>
          <w:szCs w:val="24"/>
        </w:rPr>
        <w:t>Administraţia</w:t>
      </w:r>
      <w:proofErr w:type="spellEnd"/>
      <w:r w:rsidRPr="000746EA">
        <w:rPr>
          <w:rFonts w:ascii="Times New Roman" w:hAnsi="Times New Roman"/>
          <w:color w:val="000000"/>
          <w:sz w:val="24"/>
          <w:szCs w:val="24"/>
        </w:rPr>
        <w:t xml:space="preserve"> Fondului prin mijloace electronice de transmitere la </w:t>
      </w:r>
      <w:proofErr w:type="spellStart"/>
      <w:r w:rsidRPr="000746EA">
        <w:rPr>
          <w:rFonts w:ascii="Times New Roman" w:hAnsi="Times New Roman"/>
          <w:color w:val="000000"/>
          <w:sz w:val="24"/>
          <w:szCs w:val="24"/>
        </w:rPr>
        <w:t>distanţă</w:t>
      </w:r>
      <w:proofErr w:type="spellEnd"/>
      <w:r w:rsidRPr="000746EA">
        <w:rPr>
          <w:rFonts w:ascii="Times New Roman" w:hAnsi="Times New Roman"/>
          <w:color w:val="000000"/>
          <w:sz w:val="24"/>
          <w:szCs w:val="24"/>
        </w:rPr>
        <w:t>, iar plata se realizează într-un</w:t>
      </w:r>
      <w:r w:rsidRPr="000746EA">
        <w:rPr>
          <w:rFonts w:ascii="Times New Roman" w:hAnsi="Times New Roman"/>
          <w:color w:val="000000"/>
          <w:sz w:val="24"/>
          <w:szCs w:val="24"/>
        </w:rPr>
        <w:t xml:space="preserve"> cont distinct deschis la trezorerie pe numele acesteia.”</w:t>
      </w:r>
    </w:p>
    <w:p w14:paraId="4F4FE668" w14:textId="77777777" w:rsidR="006501D2" w:rsidRPr="000746EA" w:rsidRDefault="006501D2">
      <w:pPr>
        <w:spacing w:before="26" w:after="0" w:line="259" w:lineRule="auto"/>
        <w:jc w:val="both"/>
        <w:rPr>
          <w:rFonts w:ascii="Times New Roman" w:eastAsiaTheme="minorHAnsi" w:hAnsi="Times New Roman"/>
          <w:b/>
          <w:bCs/>
          <w:noProof/>
          <w:sz w:val="24"/>
          <w:szCs w:val="24"/>
        </w:rPr>
      </w:pPr>
    </w:p>
    <w:p w14:paraId="4746F9B9" w14:textId="4D966FAD" w:rsidR="006501D2" w:rsidRPr="000746EA" w:rsidRDefault="00596CE1">
      <w:pPr>
        <w:spacing w:after="0" w:line="240" w:lineRule="auto"/>
        <w:jc w:val="both"/>
        <w:rPr>
          <w:rFonts w:ascii="Times New Roman" w:eastAsiaTheme="minorHAnsi" w:hAnsi="Times New Roman"/>
          <w:bCs/>
          <w:iCs/>
          <w:noProof/>
          <w:sz w:val="24"/>
          <w:szCs w:val="24"/>
        </w:rPr>
      </w:pPr>
      <w:r w:rsidRPr="000746EA">
        <w:rPr>
          <w:rFonts w:ascii="Times New Roman" w:eastAsiaTheme="minorHAnsi" w:hAnsi="Times New Roman"/>
          <w:b/>
          <w:bCs/>
          <w:noProof/>
          <w:sz w:val="24"/>
          <w:szCs w:val="24"/>
        </w:rPr>
        <w:t>1</w:t>
      </w:r>
      <w:r w:rsidR="00431090" w:rsidRPr="000746EA">
        <w:rPr>
          <w:rFonts w:ascii="Times New Roman" w:eastAsiaTheme="minorHAnsi" w:hAnsi="Times New Roman"/>
          <w:b/>
          <w:bCs/>
          <w:noProof/>
          <w:sz w:val="24"/>
          <w:szCs w:val="24"/>
        </w:rPr>
        <w:t>8</w:t>
      </w:r>
      <w:r w:rsidRPr="000746EA">
        <w:rPr>
          <w:rFonts w:ascii="Times New Roman" w:eastAsiaTheme="minorHAnsi" w:hAnsi="Times New Roman"/>
          <w:b/>
          <w:bCs/>
          <w:noProof/>
          <w:sz w:val="24"/>
          <w:szCs w:val="24"/>
        </w:rPr>
        <w:t>.</w:t>
      </w:r>
      <w:r w:rsidRPr="000746EA">
        <w:rPr>
          <w:rFonts w:ascii="Times New Roman" w:eastAsiaTheme="minorHAnsi" w:hAnsi="Times New Roman"/>
          <w:b/>
          <w:bCs/>
          <w:iCs/>
          <w:noProof/>
          <w:sz w:val="24"/>
          <w:szCs w:val="24"/>
        </w:rPr>
        <w:t xml:space="preserve"> La articolul 12, după alineatul (7) se introduc </w:t>
      </w:r>
      <w:r w:rsidR="00C44134" w:rsidRPr="000746EA">
        <w:rPr>
          <w:rFonts w:ascii="Times New Roman" w:eastAsiaTheme="minorHAnsi" w:hAnsi="Times New Roman"/>
          <w:b/>
          <w:bCs/>
          <w:iCs/>
          <w:noProof/>
          <w:sz w:val="24"/>
          <w:szCs w:val="24"/>
        </w:rPr>
        <w:t>două</w:t>
      </w:r>
      <w:r w:rsidRPr="000746EA">
        <w:rPr>
          <w:rFonts w:ascii="Times New Roman" w:eastAsiaTheme="minorHAnsi" w:hAnsi="Times New Roman"/>
          <w:b/>
          <w:bCs/>
          <w:iCs/>
          <w:noProof/>
          <w:sz w:val="24"/>
          <w:szCs w:val="24"/>
        </w:rPr>
        <w:t xml:space="preserve"> no</w:t>
      </w:r>
      <w:r w:rsidR="00C44134" w:rsidRPr="000746EA">
        <w:rPr>
          <w:rFonts w:ascii="Times New Roman" w:eastAsiaTheme="minorHAnsi" w:hAnsi="Times New Roman"/>
          <w:b/>
          <w:bCs/>
          <w:iCs/>
          <w:noProof/>
          <w:sz w:val="24"/>
          <w:szCs w:val="24"/>
        </w:rPr>
        <w:t>i</w:t>
      </w:r>
      <w:r w:rsidRPr="000746EA">
        <w:rPr>
          <w:rFonts w:ascii="Times New Roman" w:eastAsiaTheme="minorHAnsi" w:hAnsi="Times New Roman"/>
          <w:b/>
          <w:bCs/>
          <w:iCs/>
          <w:noProof/>
          <w:sz w:val="24"/>
          <w:szCs w:val="24"/>
        </w:rPr>
        <w:t xml:space="preserve"> alineat</w:t>
      </w:r>
      <w:r w:rsidR="00C44134" w:rsidRPr="000746EA">
        <w:rPr>
          <w:rFonts w:ascii="Times New Roman" w:eastAsiaTheme="minorHAnsi" w:hAnsi="Times New Roman"/>
          <w:b/>
          <w:bCs/>
          <w:iCs/>
          <w:noProof/>
          <w:sz w:val="24"/>
          <w:szCs w:val="24"/>
        </w:rPr>
        <w:t>e</w:t>
      </w:r>
      <w:r w:rsidRPr="000746EA">
        <w:rPr>
          <w:rFonts w:ascii="Times New Roman" w:eastAsiaTheme="minorHAnsi" w:hAnsi="Times New Roman"/>
          <w:b/>
          <w:bCs/>
          <w:iCs/>
          <w:noProof/>
          <w:sz w:val="24"/>
          <w:szCs w:val="24"/>
        </w:rPr>
        <w:t>, alineat</w:t>
      </w:r>
      <w:r w:rsidR="00C44134" w:rsidRPr="000746EA">
        <w:rPr>
          <w:rFonts w:ascii="Times New Roman" w:eastAsiaTheme="minorHAnsi" w:hAnsi="Times New Roman"/>
          <w:b/>
          <w:bCs/>
          <w:iCs/>
          <w:noProof/>
          <w:sz w:val="24"/>
          <w:szCs w:val="24"/>
        </w:rPr>
        <w:t>ele</w:t>
      </w:r>
      <w:r w:rsidRPr="000746EA">
        <w:rPr>
          <w:rFonts w:ascii="Times New Roman" w:eastAsiaTheme="minorHAnsi" w:hAnsi="Times New Roman"/>
          <w:b/>
          <w:bCs/>
          <w:iCs/>
          <w:noProof/>
          <w:sz w:val="24"/>
          <w:szCs w:val="24"/>
        </w:rPr>
        <w:t xml:space="preserve"> (8)</w:t>
      </w:r>
      <w:r w:rsidR="00C44134" w:rsidRPr="000746EA">
        <w:rPr>
          <w:rFonts w:ascii="Times New Roman" w:eastAsiaTheme="minorHAnsi" w:hAnsi="Times New Roman"/>
          <w:b/>
          <w:bCs/>
          <w:iCs/>
          <w:noProof/>
          <w:sz w:val="24"/>
          <w:szCs w:val="24"/>
        </w:rPr>
        <w:t xml:space="preserve"> și (9)</w:t>
      </w:r>
      <w:r w:rsidRPr="000746EA">
        <w:rPr>
          <w:rFonts w:ascii="Times New Roman" w:eastAsiaTheme="minorHAnsi" w:hAnsi="Times New Roman"/>
          <w:b/>
          <w:bCs/>
          <w:iCs/>
          <w:noProof/>
          <w:sz w:val="24"/>
          <w:szCs w:val="24"/>
        </w:rPr>
        <w:t>, cu următorul cuprins</w:t>
      </w:r>
      <w:r w:rsidRPr="000746EA">
        <w:rPr>
          <w:rFonts w:ascii="Times New Roman" w:eastAsiaTheme="minorHAnsi" w:hAnsi="Times New Roman"/>
          <w:bCs/>
          <w:iCs/>
          <w:noProof/>
          <w:sz w:val="24"/>
          <w:szCs w:val="24"/>
        </w:rPr>
        <w:t xml:space="preserve">: </w:t>
      </w:r>
    </w:p>
    <w:p w14:paraId="08E7152A" w14:textId="784F91DA" w:rsidR="006501D2" w:rsidRPr="000746EA" w:rsidRDefault="00596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 xml:space="preserve">“(8) Începând cu data de 1 ianuarie 2023, cantitățile de deșeuri de ambalaje care nu se regăsesc în aplicația informatică SIATD nu vor fi luate în calcul la realizarea obiectivelor </w:t>
      </w:r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minime de gestionare a </w:t>
      </w:r>
      <w:proofErr w:type="spellStart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>deşeurilor</w:t>
      </w:r>
      <w:proofErr w:type="spellEnd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24238F67" w14:textId="233F3EE8" w:rsidR="006501D2" w:rsidRPr="000746EA" w:rsidRDefault="00596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(9) </w:t>
      </w: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>Începând cu data de 1 ianuarie 2024,</w:t>
      </w: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 xml:space="preserve"> cantitățile de deșeuri de anvelope, echipamente electrice și electronice</w:t>
      </w:r>
      <w:r w:rsidR="00C463C6" w:rsidRPr="000746EA">
        <w:rPr>
          <w:rFonts w:ascii="Times New Roman" w:eastAsiaTheme="minorHAnsi" w:hAnsi="Times New Roman"/>
          <w:bCs/>
          <w:noProof/>
          <w:sz w:val="24"/>
          <w:szCs w:val="24"/>
        </w:rPr>
        <w:t xml:space="preserve">, baterii și acumulatori portabili </w:t>
      </w: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 xml:space="preserve">care nu se regăsesc în aplicația informatică SIATD nu vor fi luate în calcul la realizarea obiectivelor </w:t>
      </w:r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minime de gestionare a </w:t>
      </w:r>
      <w:proofErr w:type="spellStart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>deşeurilor</w:t>
      </w:r>
      <w:proofErr w:type="spellEnd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>.”</w:t>
      </w:r>
    </w:p>
    <w:p w14:paraId="74089751" w14:textId="77777777" w:rsidR="006501D2" w:rsidRPr="000746EA" w:rsidRDefault="006501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8A1EE13" w14:textId="0514BDAA" w:rsidR="006501D2" w:rsidRPr="000746EA" w:rsidRDefault="00431090">
      <w:pPr>
        <w:spacing w:before="80"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0746EA">
        <w:rPr>
          <w:rFonts w:ascii="Times New Roman" w:hAnsi="Times New Roman"/>
          <w:b/>
          <w:sz w:val="24"/>
          <w:szCs w:val="24"/>
          <w:lang w:eastAsia="ro-RO"/>
        </w:rPr>
        <w:t>19. După articolul 12, se introduce un nou capitol: “</w:t>
      </w:r>
      <w:bookmarkStart w:id="6" w:name="_Hlk93664193"/>
      <w:r w:rsidRPr="000746EA">
        <w:rPr>
          <w:rFonts w:ascii="Times New Roman" w:hAnsi="Times New Roman"/>
          <w:b/>
          <w:sz w:val="24"/>
          <w:szCs w:val="24"/>
        </w:rPr>
        <w:t>CAPITOLUL III</w:t>
      </w:r>
      <w:r w:rsidRPr="000746EA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0746EA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0746EA">
        <w:rPr>
          <w:rFonts w:ascii="Times New Roman" w:hAnsi="Times New Roman"/>
          <w:b/>
          <w:sz w:val="24"/>
          <w:szCs w:val="24"/>
        </w:rPr>
        <w:t>Garanţii</w:t>
      </w:r>
      <w:bookmarkEnd w:id="6"/>
      <w:proofErr w:type="spellEnd"/>
      <w:r w:rsidRPr="000746EA">
        <w:rPr>
          <w:rFonts w:ascii="Times New Roman" w:hAnsi="Times New Roman"/>
          <w:b/>
          <w:sz w:val="24"/>
          <w:szCs w:val="24"/>
        </w:rPr>
        <w:t>”, cu următorul cuprins:</w:t>
      </w:r>
      <w:r w:rsidRPr="000746EA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</w:p>
    <w:p w14:paraId="47370BD2" w14:textId="77777777" w:rsidR="006501D2" w:rsidRPr="000746EA" w:rsidRDefault="00596C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0746EA">
        <w:rPr>
          <w:rFonts w:ascii="Times New Roman" w:hAnsi="Times New Roman"/>
          <w:b/>
          <w:sz w:val="24"/>
          <w:szCs w:val="24"/>
          <w:lang w:eastAsia="ro-RO"/>
        </w:rPr>
        <w:t>„CAPITOLUL III</w:t>
      </w:r>
      <w:r w:rsidRPr="000746EA">
        <w:rPr>
          <w:rFonts w:ascii="Times New Roman" w:hAnsi="Times New Roman"/>
          <w:b/>
          <w:sz w:val="24"/>
          <w:szCs w:val="24"/>
          <w:vertAlign w:val="superscript"/>
          <w:lang w:eastAsia="ro-RO"/>
        </w:rPr>
        <w:t>1</w:t>
      </w:r>
      <w:r w:rsidRPr="000746EA">
        <w:rPr>
          <w:rFonts w:ascii="Times New Roman" w:hAnsi="Times New Roman"/>
          <w:b/>
          <w:sz w:val="24"/>
          <w:szCs w:val="24"/>
          <w:lang w:eastAsia="ro-RO"/>
        </w:rPr>
        <w:t xml:space="preserve">: </w:t>
      </w:r>
      <w:proofErr w:type="spellStart"/>
      <w:r w:rsidRPr="000746EA">
        <w:rPr>
          <w:rFonts w:ascii="Times New Roman" w:hAnsi="Times New Roman"/>
          <w:b/>
          <w:sz w:val="24"/>
          <w:szCs w:val="24"/>
          <w:lang w:eastAsia="ro-RO"/>
        </w:rPr>
        <w:t>Garanţii</w:t>
      </w:r>
      <w:proofErr w:type="spellEnd"/>
    </w:p>
    <w:p w14:paraId="25CD449E" w14:textId="77777777" w:rsidR="006501D2" w:rsidRPr="000746EA" w:rsidRDefault="00596C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o-RO"/>
        </w:rPr>
      </w:pPr>
      <w:r w:rsidRPr="000746EA">
        <w:rPr>
          <w:rFonts w:ascii="Times New Roman" w:hAnsi="Times New Roman"/>
          <w:b/>
          <w:sz w:val="24"/>
          <w:szCs w:val="24"/>
          <w:lang w:eastAsia="ro-RO"/>
        </w:rPr>
        <w:t>Articolul 12</w:t>
      </w:r>
      <w:r w:rsidRPr="000746EA">
        <w:rPr>
          <w:rFonts w:ascii="Times New Roman" w:hAnsi="Times New Roman"/>
          <w:b/>
          <w:sz w:val="24"/>
          <w:szCs w:val="24"/>
          <w:vertAlign w:val="superscript"/>
          <w:lang w:eastAsia="ro-RO"/>
        </w:rPr>
        <w:t>1</w:t>
      </w:r>
      <w:r w:rsidRPr="000746EA">
        <w:rPr>
          <w:rFonts w:ascii="Times New Roman" w:eastAsia="Times New Roman" w:hAnsi="Times New Roman"/>
          <w:b/>
          <w:sz w:val="24"/>
          <w:szCs w:val="24"/>
          <w:lang w:eastAsia="ro-RO"/>
        </w:rPr>
        <w:t>:</w:t>
      </w:r>
    </w:p>
    <w:p w14:paraId="4ECE2642" w14:textId="67C2AF55" w:rsidR="006501D2" w:rsidRPr="000746EA" w:rsidRDefault="00596CE1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46EA">
        <w:rPr>
          <w:rFonts w:ascii="Times New Roman" w:hAnsi="Times New Roman"/>
          <w:sz w:val="24"/>
          <w:szCs w:val="24"/>
        </w:rPr>
        <w:t>Administraţia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Fondului gestionează un cont separat la Trezoreria Statului, în care se încasează de la producătorii d</w:t>
      </w:r>
      <w:r w:rsidRPr="000746EA">
        <w:rPr>
          <w:rFonts w:ascii="Times New Roman" w:hAnsi="Times New Roman"/>
          <w:sz w:val="24"/>
          <w:szCs w:val="24"/>
        </w:rPr>
        <w:t xml:space="preserve">e echipamente electrice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electronice, respectiv de la </w:t>
      </w:r>
      <w:proofErr w:type="spellStart"/>
      <w:r w:rsidRPr="000746EA">
        <w:rPr>
          <w:rFonts w:ascii="Times New Roman" w:hAnsi="Times New Roman"/>
          <w:sz w:val="24"/>
          <w:szCs w:val="24"/>
        </w:rPr>
        <w:t>organizaţiile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colective, sumele reprezentând </w:t>
      </w:r>
      <w:proofErr w:type="spellStart"/>
      <w:r w:rsidRPr="000746EA">
        <w:rPr>
          <w:rFonts w:ascii="Times New Roman" w:hAnsi="Times New Roman"/>
          <w:sz w:val="24"/>
          <w:szCs w:val="24"/>
        </w:rPr>
        <w:t>garanţia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constituită conform prevederilor art. 29 și 30 din </w:t>
      </w:r>
      <w:proofErr w:type="spellStart"/>
      <w:r w:rsidRPr="000746EA">
        <w:rPr>
          <w:rFonts w:ascii="Times New Roman" w:hAnsi="Times New Roman"/>
          <w:sz w:val="24"/>
          <w:szCs w:val="24"/>
        </w:rPr>
        <w:t>Ordonanţa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746EA">
        <w:rPr>
          <w:rFonts w:ascii="Times New Roman" w:hAnsi="Times New Roman"/>
          <w:sz w:val="24"/>
          <w:szCs w:val="24"/>
        </w:rPr>
        <w:t>urgenţă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a Guvernului nr. 5/2015 privind </w:t>
      </w:r>
      <w:proofErr w:type="spellStart"/>
      <w:r w:rsidRPr="000746EA">
        <w:rPr>
          <w:rFonts w:ascii="Times New Roman" w:hAnsi="Times New Roman"/>
          <w:sz w:val="24"/>
          <w:szCs w:val="24"/>
        </w:rPr>
        <w:t>deşeurile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de echipamente electrice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elec</w:t>
      </w:r>
      <w:r w:rsidRPr="000746EA">
        <w:rPr>
          <w:rFonts w:ascii="Times New Roman" w:hAnsi="Times New Roman"/>
          <w:sz w:val="24"/>
          <w:szCs w:val="24"/>
        </w:rPr>
        <w:t xml:space="preserve">tronice, cu modificările și completările ulterioare, sume care se constituie venit la bugetul </w:t>
      </w:r>
      <w:r w:rsidR="00890FC1" w:rsidRPr="000746EA">
        <w:rPr>
          <w:rFonts w:ascii="Times New Roman" w:hAnsi="Times New Roman"/>
          <w:sz w:val="24"/>
          <w:szCs w:val="24"/>
        </w:rPr>
        <w:t>F</w:t>
      </w:r>
      <w:r w:rsidRPr="000746EA">
        <w:rPr>
          <w:rFonts w:ascii="Times New Roman" w:hAnsi="Times New Roman"/>
          <w:sz w:val="24"/>
          <w:szCs w:val="24"/>
        </w:rPr>
        <w:t>ondului pentru mediu.</w:t>
      </w:r>
    </w:p>
    <w:p w14:paraId="559E890B" w14:textId="0B1BB58F" w:rsidR="006501D2" w:rsidRPr="000746EA" w:rsidRDefault="00596CE1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46EA">
        <w:rPr>
          <w:rFonts w:ascii="Times New Roman" w:hAnsi="Times New Roman"/>
          <w:sz w:val="24"/>
          <w:szCs w:val="24"/>
        </w:rPr>
        <w:t xml:space="preserve">Organizațiile colective sunt obligate pentru cantitățile de EEE introduse pe piața națională de producătorii de EEE care au aderat la </w:t>
      </w:r>
      <w:r w:rsidRPr="000746EA">
        <w:rPr>
          <w:rFonts w:ascii="Times New Roman" w:hAnsi="Times New Roman"/>
          <w:sz w:val="24"/>
          <w:szCs w:val="24"/>
        </w:rPr>
        <w:t xml:space="preserve">organizația colectivă  și care nu mai dețin contract cu aceasta, indiferent de cauza încetării acestuia, să constituie, la </w:t>
      </w:r>
      <w:proofErr w:type="spellStart"/>
      <w:r w:rsidRPr="000746EA">
        <w:rPr>
          <w:rFonts w:ascii="Times New Roman" w:hAnsi="Times New Roman"/>
          <w:sz w:val="24"/>
          <w:szCs w:val="24"/>
        </w:rPr>
        <w:t>dispoziţia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AFM, în maxim 10 zile de la data încetării contractului</w:t>
      </w:r>
      <w:r w:rsidR="004D28E0" w:rsidRPr="000746EA">
        <w:rPr>
          <w:rFonts w:ascii="Times New Roman" w:hAnsi="Times New Roman"/>
          <w:sz w:val="24"/>
          <w:szCs w:val="24"/>
        </w:rPr>
        <w:t>,</w:t>
      </w:r>
      <w:r w:rsidRPr="000746EA">
        <w:rPr>
          <w:rFonts w:ascii="Times New Roman" w:hAnsi="Times New Roman"/>
          <w:sz w:val="24"/>
          <w:szCs w:val="24"/>
        </w:rPr>
        <w:t xml:space="preserve">  o garanție pentru atingerea tuturor obiectivelor prevăzute în Or</w:t>
      </w:r>
      <w:r w:rsidRPr="000746EA">
        <w:rPr>
          <w:rFonts w:ascii="Times New Roman" w:hAnsi="Times New Roman"/>
          <w:sz w:val="24"/>
          <w:szCs w:val="24"/>
        </w:rPr>
        <w:t xml:space="preserve">donanța de urgență a Guvernului nr. 5/2015, cu modificările și completările ulterioare, asumate de </w:t>
      </w:r>
      <w:r w:rsidR="004D28E0" w:rsidRPr="000746EA">
        <w:rPr>
          <w:rFonts w:ascii="Times New Roman" w:hAnsi="Times New Roman"/>
          <w:sz w:val="24"/>
          <w:szCs w:val="24"/>
        </w:rPr>
        <w:t>o</w:t>
      </w:r>
      <w:r w:rsidRPr="000746EA">
        <w:rPr>
          <w:rFonts w:ascii="Times New Roman" w:hAnsi="Times New Roman"/>
          <w:sz w:val="24"/>
          <w:szCs w:val="24"/>
        </w:rPr>
        <w:t>rganizația colectivă pentru toate cantitățile finanțate de producător conform contractului dintre părți și care nu au fost gestionate până la data încetării</w:t>
      </w:r>
      <w:r w:rsidRPr="000746EA">
        <w:rPr>
          <w:rFonts w:ascii="Times New Roman" w:hAnsi="Times New Roman"/>
          <w:sz w:val="24"/>
          <w:szCs w:val="24"/>
        </w:rPr>
        <w:t xml:space="preserve"> contractului, corectată cu dobânda ROBOR la an.</w:t>
      </w:r>
    </w:p>
    <w:p w14:paraId="3DFC4762" w14:textId="77777777" w:rsidR="006501D2" w:rsidRPr="000746EA" w:rsidRDefault="00596CE1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Style w:val="tpa1"/>
          <w:rFonts w:ascii="Times New Roman" w:hAnsi="Times New Roman"/>
          <w:sz w:val="24"/>
          <w:szCs w:val="24"/>
        </w:rPr>
      </w:pP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>Administrația Fondului pentru Mediu</w:t>
      </w:r>
      <w:r w:rsidRPr="000746EA">
        <w:rPr>
          <w:rStyle w:val="tpa1"/>
          <w:rFonts w:ascii="Times New Roman" w:hAnsi="Times New Roman"/>
          <w:sz w:val="24"/>
          <w:szCs w:val="24"/>
        </w:rPr>
        <w:t xml:space="preserve"> verifică corectitudinea datelor raportate de către producători și organizații colective, precum </w:t>
      </w:r>
      <w:proofErr w:type="spellStart"/>
      <w:r w:rsidRPr="000746EA">
        <w:rPr>
          <w:rStyle w:val="tpa1"/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Style w:val="tpa1"/>
          <w:rFonts w:ascii="Times New Roman" w:hAnsi="Times New Roman"/>
          <w:sz w:val="24"/>
          <w:szCs w:val="24"/>
        </w:rPr>
        <w:t xml:space="preserve"> modul de calcul </w:t>
      </w:r>
      <w:proofErr w:type="spellStart"/>
      <w:r w:rsidRPr="000746EA">
        <w:rPr>
          <w:rStyle w:val="tpa1"/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Style w:val="tpa1"/>
          <w:rFonts w:ascii="Times New Roman" w:hAnsi="Times New Roman"/>
          <w:sz w:val="24"/>
          <w:szCs w:val="24"/>
        </w:rPr>
        <w:t xml:space="preserve"> de constituire a </w:t>
      </w:r>
      <w:proofErr w:type="spellStart"/>
      <w:r w:rsidRPr="000746EA">
        <w:rPr>
          <w:rStyle w:val="tpa1"/>
          <w:rFonts w:ascii="Times New Roman" w:hAnsi="Times New Roman"/>
          <w:sz w:val="24"/>
          <w:szCs w:val="24"/>
        </w:rPr>
        <w:t>garanţiei</w:t>
      </w:r>
      <w:proofErr w:type="spellEnd"/>
      <w:r w:rsidRPr="000746EA">
        <w:rPr>
          <w:rStyle w:val="tpa1"/>
          <w:rFonts w:ascii="Times New Roman" w:hAnsi="Times New Roman"/>
          <w:sz w:val="24"/>
          <w:szCs w:val="24"/>
        </w:rPr>
        <w:t xml:space="preserve">  prevăzute la alin. (1).</w:t>
      </w:r>
    </w:p>
    <w:p w14:paraId="124B5305" w14:textId="77777777" w:rsidR="006501D2" w:rsidRPr="000746EA" w:rsidRDefault="00596CE1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46EA">
        <w:rPr>
          <w:rFonts w:ascii="Times New Roman" w:hAnsi="Times New Roman"/>
          <w:sz w:val="24"/>
          <w:szCs w:val="24"/>
        </w:rPr>
        <w:t>M</w:t>
      </w:r>
      <w:r w:rsidRPr="000746EA">
        <w:rPr>
          <w:rFonts w:ascii="Times New Roman" w:hAnsi="Times New Roman"/>
          <w:sz w:val="24"/>
          <w:szCs w:val="24"/>
        </w:rPr>
        <w:t xml:space="preserve">etodologia de 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 xml:space="preserve">constituire și gestionare a garanției financiare </w:t>
      </w:r>
      <w:r w:rsidRPr="000746EA">
        <w:rPr>
          <w:rFonts w:ascii="Times New Roman" w:hAnsi="Times New Roman"/>
          <w:sz w:val="24"/>
          <w:szCs w:val="24"/>
        </w:rPr>
        <w:t>prevăzute la alin. (1)</w:t>
      </w:r>
      <w:r w:rsidRPr="000746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>pentru producătorii de echipamente electrice și electronice</w:t>
      </w:r>
      <w:r w:rsidRPr="000746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>ș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>i pentru organizațiile colective</w:t>
      </w:r>
      <w:r w:rsidRPr="000746EA">
        <w:rPr>
          <w:rFonts w:ascii="Times New Roman" w:hAnsi="Times New Roman"/>
          <w:sz w:val="24"/>
          <w:szCs w:val="24"/>
        </w:rPr>
        <w:t>,</w:t>
      </w:r>
      <w:r w:rsidRPr="000746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>precum și cu privire la utilizarea acesteia de către Administrația Fondului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 xml:space="preserve"> pentru Mediu,</w:t>
      </w:r>
      <w:r w:rsidRPr="000746EA">
        <w:rPr>
          <w:rFonts w:ascii="Times New Roman" w:hAnsi="Times New Roman"/>
          <w:sz w:val="24"/>
          <w:szCs w:val="24"/>
        </w:rPr>
        <w:t xml:space="preserve"> se stabilește prin ordin al conducătorului </w:t>
      </w:r>
      <w:proofErr w:type="spellStart"/>
      <w:r w:rsidRPr="000746EA">
        <w:rPr>
          <w:rFonts w:ascii="Times New Roman" w:hAnsi="Times New Roman"/>
          <w:sz w:val="24"/>
          <w:szCs w:val="24"/>
        </w:rPr>
        <w:t>autorităţii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publice centrale pentru </w:t>
      </w:r>
      <w:proofErr w:type="spellStart"/>
      <w:r w:rsidRPr="000746EA">
        <w:rPr>
          <w:rFonts w:ascii="Times New Roman" w:hAnsi="Times New Roman"/>
          <w:sz w:val="24"/>
          <w:szCs w:val="24"/>
        </w:rPr>
        <w:t>protecţia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mediului, la inițiativa 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>Administrației Fondului pentru Mediu</w:t>
      </w:r>
      <w:r w:rsidRPr="000746EA">
        <w:rPr>
          <w:rFonts w:ascii="Times New Roman" w:hAnsi="Times New Roman"/>
          <w:sz w:val="24"/>
          <w:szCs w:val="24"/>
        </w:rPr>
        <w:t>.</w:t>
      </w:r>
    </w:p>
    <w:p w14:paraId="6EBCA72D" w14:textId="77777777" w:rsidR="006501D2" w:rsidRPr="000746EA" w:rsidRDefault="00596CE1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Style w:val="tal1"/>
          <w:rFonts w:ascii="Times New Roman" w:hAnsi="Times New Roman"/>
          <w:sz w:val="24"/>
          <w:szCs w:val="24"/>
        </w:rPr>
      </w:pP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>Administrația Fondului pentru Mediu</w:t>
      </w:r>
      <w:r w:rsidRPr="000746EA">
        <w:rPr>
          <w:rStyle w:val="tal1"/>
          <w:rFonts w:ascii="Times New Roman" w:hAnsi="Times New Roman"/>
          <w:sz w:val="24"/>
          <w:szCs w:val="24"/>
        </w:rPr>
        <w:t xml:space="preserve"> execută garanția financiară constituită de către produ</w:t>
      </w:r>
      <w:r w:rsidRPr="000746EA">
        <w:rPr>
          <w:rStyle w:val="tal1"/>
          <w:rFonts w:ascii="Times New Roman" w:hAnsi="Times New Roman"/>
          <w:sz w:val="24"/>
          <w:szCs w:val="24"/>
        </w:rPr>
        <w:t>cătorul individual după cum urmează:</w:t>
      </w:r>
    </w:p>
    <w:p w14:paraId="56666AAC" w14:textId="77777777" w:rsidR="006501D2" w:rsidRPr="000746EA" w:rsidRDefault="00596CE1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142"/>
        <w:jc w:val="both"/>
        <w:rPr>
          <w:rStyle w:val="tal1"/>
          <w:rFonts w:ascii="Times New Roman" w:hAnsi="Times New Roman"/>
          <w:sz w:val="24"/>
          <w:szCs w:val="24"/>
        </w:rPr>
      </w:pPr>
      <w:r w:rsidRPr="000746EA">
        <w:rPr>
          <w:rStyle w:val="tal1"/>
          <w:rFonts w:ascii="Times New Roman" w:hAnsi="Times New Roman"/>
          <w:sz w:val="24"/>
          <w:szCs w:val="24"/>
        </w:rPr>
        <w:t xml:space="preserve">în cazul în care producătorul </w:t>
      </w:r>
      <w:proofErr w:type="spellStart"/>
      <w:r w:rsidRPr="000746EA">
        <w:rPr>
          <w:rStyle w:val="tal1"/>
          <w:rFonts w:ascii="Times New Roman" w:hAnsi="Times New Roman"/>
          <w:sz w:val="24"/>
          <w:szCs w:val="24"/>
        </w:rPr>
        <w:t>ȋș</w:t>
      </w:r>
      <w:r w:rsidRPr="000746EA">
        <w:rPr>
          <w:rStyle w:val="tal1"/>
          <w:rFonts w:ascii="Times New Roman" w:hAnsi="Times New Roman"/>
          <w:sz w:val="24"/>
          <w:szCs w:val="24"/>
        </w:rPr>
        <w:t>i</w:t>
      </w:r>
      <w:proofErr w:type="spellEnd"/>
      <w:r w:rsidRPr="000746EA">
        <w:rPr>
          <w:rStyle w:val="tal1"/>
          <w:rFonts w:ascii="Times New Roman" w:hAnsi="Times New Roman"/>
          <w:sz w:val="24"/>
          <w:szCs w:val="24"/>
        </w:rPr>
        <w:t xml:space="preserve"> </w:t>
      </w:r>
      <w:proofErr w:type="spellStart"/>
      <w:r w:rsidRPr="000746EA">
        <w:rPr>
          <w:rStyle w:val="tal1"/>
          <w:rFonts w:ascii="Times New Roman" w:hAnsi="Times New Roman"/>
          <w:sz w:val="24"/>
          <w:szCs w:val="24"/>
        </w:rPr>
        <w:t>ȋncetează</w:t>
      </w:r>
      <w:proofErr w:type="spellEnd"/>
      <w:r w:rsidRPr="000746EA">
        <w:rPr>
          <w:rStyle w:val="tal1"/>
          <w:rFonts w:ascii="Times New Roman" w:hAnsi="Times New Roman"/>
          <w:sz w:val="24"/>
          <w:szCs w:val="24"/>
        </w:rPr>
        <w:t xml:space="preserve"> activitatea </w:t>
      </w:r>
      <w:proofErr w:type="spellStart"/>
      <w:r w:rsidRPr="000746EA">
        <w:rPr>
          <w:rStyle w:val="tal1"/>
          <w:rFonts w:ascii="Times New Roman" w:hAnsi="Times New Roman"/>
          <w:sz w:val="24"/>
          <w:szCs w:val="24"/>
        </w:rPr>
        <w:t>ȋnainte</w:t>
      </w:r>
      <w:proofErr w:type="spellEnd"/>
      <w:r w:rsidRPr="000746EA">
        <w:rPr>
          <w:rStyle w:val="tal1"/>
          <w:rFonts w:ascii="Times New Roman" w:hAnsi="Times New Roman"/>
          <w:sz w:val="24"/>
          <w:szCs w:val="24"/>
        </w:rPr>
        <w:t xml:space="preserve"> de terminarea perioadei de garantare, pentru produsele introduse pe piața națională și rămase negestionate, pentru care a constituit garanția;</w:t>
      </w:r>
    </w:p>
    <w:p w14:paraId="3217361B" w14:textId="77777777" w:rsidR="006501D2" w:rsidRPr="000746EA" w:rsidRDefault="00596CE1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142"/>
        <w:jc w:val="both"/>
        <w:rPr>
          <w:rStyle w:val="tal1"/>
          <w:rFonts w:ascii="Times New Roman" w:hAnsi="Times New Roman"/>
          <w:sz w:val="24"/>
          <w:szCs w:val="24"/>
        </w:rPr>
      </w:pPr>
      <w:r w:rsidRPr="000746EA">
        <w:rPr>
          <w:rStyle w:val="tal1"/>
          <w:rFonts w:ascii="Times New Roman" w:hAnsi="Times New Roman"/>
          <w:sz w:val="24"/>
          <w:szCs w:val="24"/>
        </w:rPr>
        <w:t xml:space="preserve">în cazul în </w:t>
      </w:r>
      <w:r w:rsidRPr="000746EA">
        <w:rPr>
          <w:rStyle w:val="tal1"/>
          <w:rFonts w:ascii="Times New Roman" w:hAnsi="Times New Roman"/>
          <w:sz w:val="24"/>
          <w:szCs w:val="24"/>
        </w:rPr>
        <w:t xml:space="preserve">care producătorul, la sfârșitul perioadei de garantare, nu </w:t>
      </w:r>
      <w:proofErr w:type="spellStart"/>
      <w:r w:rsidRPr="000746EA">
        <w:rPr>
          <w:rStyle w:val="tal1"/>
          <w:rFonts w:ascii="Times New Roman" w:hAnsi="Times New Roman"/>
          <w:sz w:val="24"/>
          <w:szCs w:val="24"/>
        </w:rPr>
        <w:t>ȋși</w:t>
      </w:r>
      <w:proofErr w:type="spellEnd"/>
      <w:r w:rsidRPr="000746EA">
        <w:rPr>
          <w:rStyle w:val="tal1"/>
          <w:rFonts w:ascii="Times New Roman" w:hAnsi="Times New Roman"/>
          <w:sz w:val="24"/>
          <w:szCs w:val="24"/>
        </w:rPr>
        <w:t xml:space="preserve"> îndeplinește obligația de finanțare a colectării, tratării, reciclării, valorificării și eliminării nepoluante a deșeurilor provenite de la echipamentele electrice și electronice introduse pe p</w:t>
      </w:r>
      <w:r w:rsidRPr="000746EA">
        <w:rPr>
          <w:rStyle w:val="tal1"/>
          <w:rFonts w:ascii="Times New Roman" w:hAnsi="Times New Roman"/>
          <w:sz w:val="24"/>
          <w:szCs w:val="24"/>
        </w:rPr>
        <w:t xml:space="preserve">iața națională, pentru produsele introduse pe piața </w:t>
      </w:r>
      <w:r w:rsidRPr="000746EA">
        <w:rPr>
          <w:rStyle w:val="tal1"/>
          <w:rFonts w:ascii="Times New Roman" w:hAnsi="Times New Roman"/>
          <w:sz w:val="24"/>
          <w:szCs w:val="24"/>
        </w:rPr>
        <w:lastRenderedPageBreak/>
        <w:t xml:space="preserve">națională pentru care a constituit garanția și rămase negestionate, pentru fiecare categorie de </w:t>
      </w:r>
      <w:proofErr w:type="spellStart"/>
      <w:r w:rsidRPr="000746EA">
        <w:rPr>
          <w:rFonts w:ascii="Times New Roman" w:hAnsi="Times New Roman"/>
          <w:sz w:val="24"/>
          <w:szCs w:val="24"/>
        </w:rPr>
        <w:t>deşeuri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de echipamente electrice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electronice</w:t>
      </w:r>
      <w:r w:rsidRPr="000746EA">
        <w:rPr>
          <w:rStyle w:val="tal1"/>
          <w:rFonts w:ascii="Times New Roman" w:hAnsi="Times New Roman"/>
          <w:sz w:val="24"/>
          <w:szCs w:val="24"/>
        </w:rPr>
        <w:t>;</w:t>
      </w:r>
    </w:p>
    <w:p w14:paraId="3F8379AF" w14:textId="77777777" w:rsidR="006501D2" w:rsidRPr="000746EA" w:rsidRDefault="00596CE1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142"/>
        <w:jc w:val="both"/>
        <w:rPr>
          <w:rStyle w:val="tal1"/>
          <w:rFonts w:ascii="Times New Roman" w:hAnsi="Times New Roman"/>
          <w:sz w:val="24"/>
          <w:szCs w:val="24"/>
        </w:rPr>
      </w:pPr>
      <w:r w:rsidRPr="000746EA">
        <w:rPr>
          <w:rStyle w:val="tal1"/>
          <w:rFonts w:ascii="Times New Roman" w:hAnsi="Times New Roman"/>
          <w:sz w:val="24"/>
          <w:szCs w:val="24"/>
        </w:rPr>
        <w:t xml:space="preserve">în cazul </w:t>
      </w:r>
      <w:proofErr w:type="spellStart"/>
      <w:r w:rsidRPr="000746EA">
        <w:rPr>
          <w:rStyle w:val="tal1"/>
          <w:rFonts w:ascii="Times New Roman" w:hAnsi="Times New Roman"/>
          <w:sz w:val="24"/>
          <w:szCs w:val="24"/>
        </w:rPr>
        <w:t>neȋndeplinirii</w:t>
      </w:r>
      <w:proofErr w:type="spellEnd"/>
      <w:r w:rsidRPr="000746EA">
        <w:rPr>
          <w:rStyle w:val="tal1"/>
          <w:rFonts w:ascii="Times New Roman" w:hAnsi="Times New Roman"/>
          <w:sz w:val="24"/>
          <w:szCs w:val="24"/>
        </w:rPr>
        <w:t xml:space="preserve"> obligațiilor de finanțare a colectă</w:t>
      </w:r>
      <w:r w:rsidRPr="000746EA">
        <w:rPr>
          <w:rStyle w:val="tal1"/>
          <w:rFonts w:ascii="Times New Roman" w:hAnsi="Times New Roman"/>
          <w:sz w:val="24"/>
          <w:szCs w:val="24"/>
        </w:rPr>
        <w:t xml:space="preserve">rii, tratării, reciclării, valorificării și eliminării nepoluante a </w:t>
      </w:r>
      <w:proofErr w:type="spellStart"/>
      <w:r w:rsidRPr="000746EA">
        <w:rPr>
          <w:rFonts w:ascii="Times New Roman" w:hAnsi="Times New Roman"/>
          <w:sz w:val="24"/>
          <w:szCs w:val="24"/>
        </w:rPr>
        <w:t>deşeurilor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de echipamente electrice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electronice</w:t>
      </w:r>
      <w:r w:rsidRPr="000746EA">
        <w:rPr>
          <w:rStyle w:val="tal1"/>
          <w:rFonts w:ascii="Times New Roman" w:hAnsi="Times New Roman"/>
          <w:sz w:val="24"/>
          <w:szCs w:val="24"/>
        </w:rPr>
        <w:t>, pentru echipamentele electrice și electronice pentru care producătorul nu și-a îndeplinit obligațiile.</w:t>
      </w:r>
    </w:p>
    <w:p w14:paraId="31DFFA2E" w14:textId="77777777" w:rsidR="006501D2" w:rsidRPr="000746EA" w:rsidRDefault="00596CE1">
      <w:pPr>
        <w:pStyle w:val="ListParagraph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tal1"/>
          <w:rFonts w:ascii="Times New Roman" w:hAnsi="Times New Roman"/>
          <w:sz w:val="24"/>
          <w:szCs w:val="24"/>
        </w:rPr>
      </w:pP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>Administrația Fondului pentru Med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>iu</w:t>
      </w:r>
      <w:r w:rsidRPr="000746EA">
        <w:rPr>
          <w:rStyle w:val="tal1"/>
          <w:rFonts w:ascii="Times New Roman" w:hAnsi="Times New Roman"/>
          <w:sz w:val="24"/>
          <w:szCs w:val="24"/>
        </w:rPr>
        <w:t xml:space="preserve"> execută garanția financiară constituită </w:t>
      </w:r>
      <w:r w:rsidRPr="000746EA">
        <w:rPr>
          <w:rStyle w:val="tpa1"/>
          <w:rFonts w:ascii="Times New Roman" w:hAnsi="Times New Roman"/>
          <w:sz w:val="24"/>
          <w:szCs w:val="24"/>
        </w:rPr>
        <w:t xml:space="preserve">potrivit alin. (1) </w:t>
      </w:r>
      <w:r w:rsidRPr="000746EA">
        <w:rPr>
          <w:rStyle w:val="tal1"/>
          <w:rFonts w:ascii="Times New Roman" w:hAnsi="Times New Roman"/>
          <w:sz w:val="24"/>
          <w:szCs w:val="24"/>
        </w:rPr>
        <w:t xml:space="preserve">de către </w:t>
      </w:r>
      <w:r w:rsidRPr="000746EA">
        <w:rPr>
          <w:rStyle w:val="tpa1"/>
          <w:rFonts w:ascii="Times New Roman" w:hAnsi="Times New Roman"/>
          <w:sz w:val="24"/>
          <w:szCs w:val="24"/>
        </w:rPr>
        <w:t>organizația colectivă</w:t>
      </w:r>
      <w:r w:rsidRPr="000746EA">
        <w:rPr>
          <w:rStyle w:val="tal1"/>
          <w:rFonts w:ascii="Times New Roman" w:hAnsi="Times New Roman"/>
          <w:sz w:val="24"/>
          <w:szCs w:val="24"/>
        </w:rPr>
        <w:t xml:space="preserve"> în cazul în care:</w:t>
      </w:r>
    </w:p>
    <w:p w14:paraId="788D74C0" w14:textId="77777777" w:rsidR="006501D2" w:rsidRPr="000746EA" w:rsidRDefault="00596CE1">
      <w:pPr>
        <w:pStyle w:val="ListParagraph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142"/>
        <w:jc w:val="both"/>
        <w:rPr>
          <w:rStyle w:val="tpa1"/>
          <w:rFonts w:ascii="Times New Roman" w:hAnsi="Times New Roman"/>
          <w:sz w:val="24"/>
          <w:szCs w:val="24"/>
        </w:rPr>
      </w:pPr>
      <w:r w:rsidRPr="000746EA">
        <w:rPr>
          <w:rStyle w:val="tpa1"/>
          <w:rFonts w:ascii="Times New Roman" w:hAnsi="Times New Roman"/>
          <w:sz w:val="24"/>
          <w:szCs w:val="24"/>
        </w:rPr>
        <w:t xml:space="preserve">organizația colectivă urmează </w:t>
      </w:r>
      <w:proofErr w:type="spellStart"/>
      <w:r w:rsidRPr="000746EA">
        <w:rPr>
          <w:rStyle w:val="tpa1"/>
          <w:rFonts w:ascii="Times New Roman" w:hAnsi="Times New Roman"/>
          <w:sz w:val="24"/>
          <w:szCs w:val="24"/>
        </w:rPr>
        <w:t>şă</w:t>
      </w:r>
      <w:proofErr w:type="spellEnd"/>
      <w:r w:rsidRPr="000746EA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0746EA">
        <w:rPr>
          <w:rStyle w:val="tpa1"/>
          <w:rFonts w:ascii="Times New Roman" w:hAnsi="Times New Roman"/>
          <w:sz w:val="24"/>
          <w:szCs w:val="24"/>
        </w:rPr>
        <w:t>ȋși</w:t>
      </w:r>
      <w:proofErr w:type="spellEnd"/>
      <w:r w:rsidRPr="000746EA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0746EA">
        <w:rPr>
          <w:rStyle w:val="tpa1"/>
          <w:rFonts w:ascii="Times New Roman" w:hAnsi="Times New Roman"/>
          <w:sz w:val="24"/>
          <w:szCs w:val="24"/>
        </w:rPr>
        <w:t>ȋnceteze</w:t>
      </w:r>
      <w:proofErr w:type="spellEnd"/>
      <w:r w:rsidRPr="000746EA">
        <w:rPr>
          <w:rStyle w:val="tpa1"/>
          <w:rFonts w:ascii="Times New Roman" w:hAnsi="Times New Roman"/>
          <w:sz w:val="24"/>
          <w:szCs w:val="24"/>
        </w:rPr>
        <w:t xml:space="preserve"> activitatea</w:t>
      </w:r>
      <w:r w:rsidRPr="000746EA">
        <w:rPr>
          <w:rStyle w:val="tpa1"/>
          <w:rFonts w:ascii="Times New Roman" w:hAnsi="Times New Roman"/>
          <w:sz w:val="24"/>
          <w:szCs w:val="24"/>
        </w:rPr>
        <w:t>;</w:t>
      </w:r>
    </w:p>
    <w:p w14:paraId="65C4D2DF" w14:textId="77777777" w:rsidR="006501D2" w:rsidRPr="000746EA" w:rsidRDefault="00596CE1">
      <w:pPr>
        <w:pStyle w:val="ListParagraph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142"/>
        <w:jc w:val="both"/>
        <w:rPr>
          <w:rStyle w:val="tpa1"/>
          <w:rFonts w:ascii="Times New Roman" w:hAnsi="Times New Roman"/>
          <w:sz w:val="24"/>
          <w:szCs w:val="24"/>
        </w:rPr>
      </w:pPr>
      <w:r w:rsidRPr="000746EA">
        <w:rPr>
          <w:rStyle w:val="tpa1"/>
          <w:rFonts w:ascii="Times New Roman" w:hAnsi="Times New Roman"/>
          <w:sz w:val="24"/>
          <w:szCs w:val="24"/>
        </w:rPr>
        <w:t xml:space="preserve">se solicită intrarea într-o procedură de insolvență sau lichidare a </w:t>
      </w:r>
      <w:proofErr w:type="spellStart"/>
      <w:r w:rsidRPr="000746EA">
        <w:rPr>
          <w:rStyle w:val="tpa1"/>
          <w:rFonts w:ascii="Times New Roman" w:hAnsi="Times New Roman"/>
          <w:sz w:val="24"/>
          <w:szCs w:val="24"/>
        </w:rPr>
        <w:t>organizaţiei</w:t>
      </w:r>
      <w:proofErr w:type="spellEnd"/>
      <w:r w:rsidRPr="000746EA">
        <w:rPr>
          <w:rStyle w:val="tpa1"/>
          <w:rFonts w:ascii="Times New Roman" w:hAnsi="Times New Roman"/>
          <w:sz w:val="24"/>
          <w:szCs w:val="24"/>
        </w:rPr>
        <w:t xml:space="preserve"> </w:t>
      </w:r>
      <w:r w:rsidRPr="000746EA">
        <w:rPr>
          <w:rStyle w:val="tpa1"/>
          <w:rFonts w:ascii="Times New Roman" w:hAnsi="Times New Roman"/>
          <w:sz w:val="24"/>
          <w:szCs w:val="24"/>
        </w:rPr>
        <w:t>colective</w:t>
      </w:r>
      <w:r w:rsidRPr="000746EA">
        <w:rPr>
          <w:rStyle w:val="tpa1"/>
          <w:rFonts w:ascii="Times New Roman" w:hAnsi="Times New Roman"/>
          <w:sz w:val="24"/>
          <w:szCs w:val="24"/>
        </w:rPr>
        <w:t>;</w:t>
      </w:r>
    </w:p>
    <w:p w14:paraId="4ADAAF38" w14:textId="77777777" w:rsidR="006501D2" w:rsidRPr="000746EA" w:rsidRDefault="00596CE1">
      <w:pPr>
        <w:pStyle w:val="ListParagraph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142"/>
        <w:jc w:val="both"/>
        <w:rPr>
          <w:rStyle w:val="tpa1"/>
          <w:rFonts w:ascii="Times New Roman" w:hAnsi="Times New Roman"/>
          <w:strike/>
          <w:color w:val="FF0000"/>
          <w:sz w:val="24"/>
          <w:szCs w:val="24"/>
        </w:rPr>
      </w:pPr>
      <w:r w:rsidRPr="000746EA">
        <w:rPr>
          <w:rStyle w:val="tpa1"/>
          <w:rFonts w:ascii="Times New Roman" w:hAnsi="Times New Roman"/>
          <w:sz w:val="24"/>
          <w:szCs w:val="24"/>
        </w:rPr>
        <w:t>organizației colective i se anulează licența de operare</w:t>
      </w:r>
      <w:r w:rsidRPr="000746EA">
        <w:rPr>
          <w:rStyle w:val="tpa1"/>
          <w:rFonts w:ascii="Times New Roman" w:hAnsi="Times New Roman"/>
          <w:sz w:val="24"/>
          <w:szCs w:val="24"/>
        </w:rPr>
        <w:t>;</w:t>
      </w:r>
    </w:p>
    <w:p w14:paraId="4280DB00" w14:textId="77777777" w:rsidR="006501D2" w:rsidRPr="000746EA" w:rsidRDefault="00596CE1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142"/>
        <w:jc w:val="both"/>
        <w:rPr>
          <w:rStyle w:val="tal1"/>
          <w:rFonts w:ascii="Times New Roman" w:hAnsi="Times New Roman"/>
          <w:sz w:val="24"/>
          <w:szCs w:val="24"/>
        </w:rPr>
      </w:pPr>
      <w:r w:rsidRPr="000746EA">
        <w:rPr>
          <w:rStyle w:val="tal1"/>
          <w:rFonts w:ascii="Times New Roman" w:hAnsi="Times New Roman"/>
          <w:sz w:val="24"/>
          <w:szCs w:val="24"/>
        </w:rPr>
        <w:t xml:space="preserve">organizația colectivă nu își </w:t>
      </w:r>
      <w:proofErr w:type="spellStart"/>
      <w:r w:rsidRPr="000746EA">
        <w:rPr>
          <w:rStyle w:val="tal1"/>
          <w:rFonts w:ascii="Times New Roman" w:hAnsi="Times New Roman"/>
          <w:sz w:val="24"/>
          <w:szCs w:val="24"/>
        </w:rPr>
        <w:t>ȋ</w:t>
      </w:r>
      <w:r w:rsidRPr="000746EA">
        <w:rPr>
          <w:rStyle w:val="tal1"/>
          <w:rFonts w:ascii="Times New Roman" w:hAnsi="Times New Roman"/>
          <w:sz w:val="24"/>
          <w:szCs w:val="24"/>
        </w:rPr>
        <w:t>ndeplinește</w:t>
      </w:r>
      <w:proofErr w:type="spellEnd"/>
      <w:r w:rsidRPr="000746EA">
        <w:rPr>
          <w:rStyle w:val="tal1"/>
          <w:rFonts w:ascii="Times New Roman" w:hAnsi="Times New Roman"/>
          <w:sz w:val="24"/>
          <w:szCs w:val="24"/>
        </w:rPr>
        <w:t xml:space="preserve"> obligațiile de finanțare a gestionării </w:t>
      </w:r>
      <w:proofErr w:type="spellStart"/>
      <w:r w:rsidRPr="000746EA">
        <w:rPr>
          <w:rFonts w:ascii="Times New Roman" w:hAnsi="Times New Roman"/>
          <w:sz w:val="24"/>
          <w:szCs w:val="24"/>
        </w:rPr>
        <w:t>deşeurilor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de echipamente electrice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electronice</w:t>
      </w:r>
      <w:r w:rsidRPr="000746EA">
        <w:rPr>
          <w:rStyle w:val="tal1"/>
          <w:rFonts w:ascii="Times New Roman" w:hAnsi="Times New Roman"/>
          <w:sz w:val="24"/>
          <w:szCs w:val="24"/>
        </w:rPr>
        <w:t>;</w:t>
      </w:r>
    </w:p>
    <w:p w14:paraId="645E58CD" w14:textId="77777777" w:rsidR="006501D2" w:rsidRPr="000746EA" w:rsidRDefault="00596CE1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142"/>
        <w:jc w:val="both"/>
        <w:rPr>
          <w:rStyle w:val="do1"/>
          <w:rFonts w:ascii="Times New Roman" w:hAnsi="Times New Roman"/>
          <w:b w:val="0"/>
          <w:sz w:val="24"/>
          <w:szCs w:val="24"/>
        </w:rPr>
      </w:pPr>
      <w:r w:rsidRPr="000746EA">
        <w:rPr>
          <w:rStyle w:val="tal1"/>
          <w:rFonts w:ascii="Times New Roman" w:hAnsi="Times New Roman"/>
          <w:sz w:val="24"/>
          <w:szCs w:val="24"/>
        </w:rPr>
        <w:t xml:space="preserve">în </w:t>
      </w:r>
      <w:proofErr w:type="spellStart"/>
      <w:r w:rsidRPr="000746EA">
        <w:rPr>
          <w:rStyle w:val="tal1"/>
          <w:rFonts w:ascii="Times New Roman" w:hAnsi="Times New Roman"/>
          <w:sz w:val="24"/>
          <w:szCs w:val="24"/>
        </w:rPr>
        <w:t>situaţiile</w:t>
      </w:r>
      <w:proofErr w:type="spellEnd"/>
      <w:r w:rsidRPr="000746EA">
        <w:rPr>
          <w:rStyle w:val="tal1"/>
          <w:rFonts w:ascii="Times New Roman" w:hAnsi="Times New Roman"/>
          <w:sz w:val="24"/>
          <w:szCs w:val="24"/>
        </w:rPr>
        <w:t xml:space="preserve"> prevăzute la lit. a) </w:t>
      </w:r>
      <w:proofErr w:type="spellStart"/>
      <w:r w:rsidRPr="000746EA">
        <w:rPr>
          <w:rStyle w:val="tal1"/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Style w:val="tal1"/>
          <w:rFonts w:ascii="Times New Roman" w:hAnsi="Times New Roman"/>
          <w:sz w:val="24"/>
          <w:szCs w:val="24"/>
        </w:rPr>
        <w:t xml:space="preserve"> b), 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>Administrația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 xml:space="preserve"> Fondului pentru Mediu este informată în termen de 3 zile de la data la care </w:t>
      </w:r>
      <w:proofErr w:type="spellStart"/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>organizaţia</w:t>
      </w:r>
      <w:proofErr w:type="spellEnd"/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 xml:space="preserve"> colectivă a luat la </w:t>
      </w:r>
      <w:proofErr w:type="spellStart"/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>cunoştinţă</w:t>
      </w:r>
      <w:proofErr w:type="spellEnd"/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 xml:space="preserve"> că urmează modificarea stării de fapt sau de drept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>;</w:t>
      </w:r>
    </w:p>
    <w:p w14:paraId="1281AD75" w14:textId="11BB4F5F" w:rsidR="006501D2" w:rsidRPr="000746EA" w:rsidRDefault="00596CE1">
      <w:pPr>
        <w:spacing w:after="0" w:line="240" w:lineRule="auto"/>
        <w:jc w:val="both"/>
        <w:rPr>
          <w:rStyle w:val="tal1"/>
          <w:rFonts w:ascii="Times New Roman" w:hAnsi="Times New Roman"/>
          <w:bCs/>
          <w:sz w:val="24"/>
          <w:szCs w:val="24"/>
        </w:rPr>
      </w:pPr>
      <w:r w:rsidRPr="000746EA">
        <w:rPr>
          <w:rStyle w:val="tal1"/>
          <w:rFonts w:ascii="Times New Roman" w:hAnsi="Times New Roman"/>
          <w:sz w:val="24"/>
          <w:szCs w:val="24"/>
        </w:rPr>
        <w:t xml:space="preserve">  f) în </w:t>
      </w:r>
      <w:proofErr w:type="spellStart"/>
      <w:r w:rsidRPr="000746EA">
        <w:rPr>
          <w:rStyle w:val="tal1"/>
          <w:rFonts w:ascii="Times New Roman" w:hAnsi="Times New Roman"/>
          <w:sz w:val="24"/>
          <w:szCs w:val="24"/>
        </w:rPr>
        <w:t>situaţiile</w:t>
      </w:r>
      <w:proofErr w:type="spellEnd"/>
      <w:r w:rsidRPr="000746EA">
        <w:rPr>
          <w:rStyle w:val="tal1"/>
          <w:rFonts w:ascii="Times New Roman" w:hAnsi="Times New Roman"/>
          <w:sz w:val="24"/>
          <w:szCs w:val="24"/>
        </w:rPr>
        <w:t xml:space="preserve"> prevăzute la lit. c) </w:t>
      </w:r>
      <w:proofErr w:type="spellStart"/>
      <w:r w:rsidRPr="000746EA">
        <w:rPr>
          <w:rStyle w:val="tal1"/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Style w:val="tal1"/>
          <w:rFonts w:ascii="Times New Roman" w:hAnsi="Times New Roman"/>
          <w:sz w:val="24"/>
          <w:szCs w:val="24"/>
        </w:rPr>
        <w:t xml:space="preserve"> d), 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 xml:space="preserve">autoritatea </w:t>
      </w:r>
      <w:r w:rsidR="00007853"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 xml:space="preserve">publică 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 xml:space="preserve">centrală pentru 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 xml:space="preserve">protecția mediului comunică Administrației Fondului pentru Mediu decizia sa la data la care informează </w:t>
      </w:r>
      <w:proofErr w:type="spellStart"/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>organizaţia</w:t>
      </w:r>
      <w:proofErr w:type="spellEnd"/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 xml:space="preserve"> colectivă.</w:t>
      </w:r>
    </w:p>
    <w:p w14:paraId="13E81415" w14:textId="77777777" w:rsidR="006501D2" w:rsidRPr="000746EA" w:rsidRDefault="00596CE1">
      <w:pPr>
        <w:pStyle w:val="ListParagraph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 xml:space="preserve">Administrația Fondului pentru Mediu autorizează utilizarea sumelor încasate ca urmare a executării garanțiilor financiare, pentru 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>finanțarea proiectelor de colectare, transport, tratare, reciclare, valorificare și eliminare în condiții de protecție a mediului a deșeurilor de echipamente electrice și electronice provenite de la gospodăriile particulare.</w:t>
      </w:r>
    </w:p>
    <w:p w14:paraId="49573468" w14:textId="77777777" w:rsidR="006501D2" w:rsidRPr="000746EA" w:rsidRDefault="00596CE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vertAlign w:val="superscript"/>
        </w:rPr>
      </w:pPr>
      <w:r w:rsidRPr="000746EA">
        <w:rPr>
          <w:rFonts w:ascii="Times New Roman" w:hAnsi="Times New Roman"/>
          <w:b/>
          <w:bCs/>
          <w:sz w:val="24"/>
          <w:szCs w:val="24"/>
        </w:rPr>
        <w:t>Articolul 12</w:t>
      </w:r>
      <w:r w:rsidRPr="000746EA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</w:p>
    <w:p w14:paraId="7166FA11" w14:textId="7B315436" w:rsidR="006501D2" w:rsidRPr="000746EA" w:rsidRDefault="00596CE1">
      <w:pPr>
        <w:spacing w:after="0" w:line="240" w:lineRule="auto"/>
        <w:jc w:val="both"/>
        <w:rPr>
          <w:rStyle w:val="tal1"/>
          <w:rFonts w:ascii="Times New Roman" w:hAnsi="Times New Roman"/>
          <w:bCs/>
          <w:sz w:val="24"/>
        </w:rPr>
      </w:pP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 xml:space="preserve">(1) </w:t>
      </w:r>
      <w:proofErr w:type="spellStart"/>
      <w:r w:rsidRPr="000746EA">
        <w:rPr>
          <w:rStyle w:val="do1"/>
          <w:rFonts w:ascii="Times New Roman" w:hAnsi="Times New Roman"/>
          <w:b w:val="0"/>
          <w:bCs/>
          <w:sz w:val="24"/>
        </w:rPr>
        <w:t>Garanţia</w:t>
      </w:r>
      <w:proofErr w:type="spellEnd"/>
      <w:r w:rsidRPr="000746EA">
        <w:rPr>
          <w:rStyle w:val="do1"/>
          <w:rFonts w:ascii="Times New Roman" w:hAnsi="Times New Roman"/>
          <w:b w:val="0"/>
          <w:bCs/>
          <w:sz w:val="24"/>
        </w:rPr>
        <w:t xml:space="preserve"> prevăzută la art. 16 alin. (8) lit. e) din Legea nr. 249/2015 privind modalitatea de gestionare a ambalajelor </w:t>
      </w:r>
      <w:proofErr w:type="spellStart"/>
      <w:r w:rsidRPr="000746EA">
        <w:rPr>
          <w:rStyle w:val="do1"/>
          <w:rFonts w:ascii="Times New Roman" w:hAnsi="Times New Roman"/>
          <w:b w:val="0"/>
          <w:bCs/>
          <w:sz w:val="24"/>
        </w:rPr>
        <w:t>şi</w:t>
      </w:r>
      <w:proofErr w:type="spellEnd"/>
      <w:r w:rsidRPr="000746EA">
        <w:rPr>
          <w:rStyle w:val="do1"/>
          <w:rFonts w:ascii="Times New Roman" w:hAnsi="Times New Roman"/>
          <w:b w:val="0"/>
          <w:bCs/>
          <w:sz w:val="24"/>
        </w:rPr>
        <w:t xml:space="preserve"> a </w:t>
      </w:r>
      <w:proofErr w:type="spellStart"/>
      <w:r w:rsidRPr="000746EA">
        <w:rPr>
          <w:rStyle w:val="do1"/>
          <w:rFonts w:ascii="Times New Roman" w:hAnsi="Times New Roman"/>
          <w:b w:val="0"/>
          <w:bCs/>
          <w:sz w:val="24"/>
        </w:rPr>
        <w:t>deşeurilor</w:t>
      </w:r>
      <w:proofErr w:type="spellEnd"/>
      <w:r w:rsidRPr="000746EA">
        <w:rPr>
          <w:rStyle w:val="do1"/>
          <w:rFonts w:ascii="Times New Roman" w:hAnsi="Times New Roman"/>
          <w:b w:val="0"/>
          <w:bCs/>
          <w:sz w:val="24"/>
        </w:rPr>
        <w:t xml:space="preserve"> de ambalaje, cu modificările </w:t>
      </w:r>
      <w:proofErr w:type="spellStart"/>
      <w:r w:rsidRPr="000746EA">
        <w:rPr>
          <w:rStyle w:val="do1"/>
          <w:rFonts w:ascii="Times New Roman" w:hAnsi="Times New Roman"/>
          <w:b w:val="0"/>
          <w:bCs/>
          <w:sz w:val="24"/>
        </w:rPr>
        <w:t>şi</w:t>
      </w:r>
      <w:proofErr w:type="spellEnd"/>
      <w:r w:rsidRPr="000746EA">
        <w:rPr>
          <w:rStyle w:val="do1"/>
          <w:rFonts w:ascii="Times New Roman" w:hAnsi="Times New Roman"/>
          <w:b w:val="0"/>
          <w:bCs/>
          <w:sz w:val="24"/>
        </w:rPr>
        <w:t xml:space="preserve"> completările ulterioare, se execută 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 xml:space="preserve">în limita prevăzută de lege, </w:t>
      </w:r>
      <w:r w:rsidRPr="000746EA">
        <w:rPr>
          <w:rStyle w:val="do1"/>
          <w:rFonts w:ascii="Times New Roman" w:hAnsi="Times New Roman"/>
          <w:b w:val="0"/>
          <w:bCs/>
          <w:sz w:val="24"/>
        </w:rPr>
        <w:t xml:space="preserve">de către </w:t>
      </w:r>
      <w:proofErr w:type="spellStart"/>
      <w:r w:rsidRPr="000746EA">
        <w:rPr>
          <w:rStyle w:val="do1"/>
          <w:rFonts w:ascii="Times New Roman" w:hAnsi="Times New Roman"/>
          <w:b w:val="0"/>
          <w:bCs/>
          <w:sz w:val="24"/>
        </w:rPr>
        <w:t>Administraţia</w:t>
      </w:r>
      <w:proofErr w:type="spellEnd"/>
      <w:r w:rsidRPr="000746EA">
        <w:rPr>
          <w:rStyle w:val="do1"/>
          <w:rFonts w:ascii="Times New Roman" w:hAnsi="Times New Roman"/>
          <w:b w:val="0"/>
          <w:bCs/>
          <w:sz w:val="24"/>
        </w:rPr>
        <w:t xml:space="preserve"> F</w:t>
      </w:r>
      <w:r w:rsidRPr="000746EA">
        <w:rPr>
          <w:rStyle w:val="do1"/>
          <w:rFonts w:ascii="Times New Roman" w:hAnsi="Times New Roman"/>
          <w:b w:val="0"/>
          <w:bCs/>
          <w:sz w:val="24"/>
        </w:rPr>
        <w:t xml:space="preserve">ondului pentru Mediu în cazul în care 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 xml:space="preserve">au fost stabilite obligații de plată în sarcina operatorilor economici prevăzuți la </w:t>
      </w:r>
      <w:r w:rsidR="003B1F89"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>a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>rt.</w:t>
      </w:r>
      <w:r w:rsidR="003E73D7"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>9 alin.</w:t>
      </w:r>
      <w:r w:rsidR="003B1F89"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>(1) lit.</w:t>
      </w:r>
      <w:r w:rsidR="003B1F89"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 xml:space="preserve">v), iar </w:t>
      </w:r>
      <w:r w:rsidRPr="000746EA">
        <w:rPr>
          <w:rStyle w:val="do1"/>
          <w:rFonts w:ascii="Times New Roman" w:hAnsi="Times New Roman"/>
          <w:b w:val="0"/>
          <w:bCs/>
          <w:sz w:val="24"/>
        </w:rPr>
        <w:t xml:space="preserve">în cazul în care </w:t>
      </w:r>
      <w:proofErr w:type="spellStart"/>
      <w:r w:rsidRPr="000746EA">
        <w:rPr>
          <w:rStyle w:val="do1"/>
          <w:rFonts w:ascii="Times New Roman" w:hAnsi="Times New Roman"/>
          <w:b w:val="0"/>
          <w:bCs/>
          <w:sz w:val="24"/>
        </w:rPr>
        <w:t>obigația</w:t>
      </w:r>
      <w:proofErr w:type="spellEnd"/>
      <w:r w:rsidRPr="000746EA">
        <w:rPr>
          <w:rStyle w:val="do1"/>
          <w:rFonts w:ascii="Times New Roman" w:hAnsi="Times New Roman"/>
          <w:b w:val="0"/>
          <w:bCs/>
          <w:sz w:val="24"/>
        </w:rPr>
        <w:t xml:space="preserve"> de plată depășește garanția, contribuția rămasă va fi datorată de către operat</w:t>
      </w:r>
      <w:r w:rsidRPr="000746EA">
        <w:rPr>
          <w:rStyle w:val="do1"/>
          <w:rFonts w:ascii="Times New Roman" w:hAnsi="Times New Roman"/>
          <w:b w:val="0"/>
          <w:bCs/>
          <w:sz w:val="24"/>
        </w:rPr>
        <w:t xml:space="preserve">orii economici prevăzuți la art. 9 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 xml:space="preserve">alin. (1) </w:t>
      </w:r>
      <w:r w:rsidRPr="000746EA">
        <w:rPr>
          <w:rStyle w:val="do1"/>
          <w:rFonts w:ascii="Times New Roman" w:hAnsi="Times New Roman"/>
          <w:b w:val="0"/>
          <w:bCs/>
          <w:sz w:val="24"/>
        </w:rPr>
        <w:t>lit. d) care au încheiat contract cu organizația care implementează răspunderea extinsă a producătorului pentru care au fos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>t stabilite obligații de plată, în baza deciziei de impunere emise de Administrația Fond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 xml:space="preserve">ului pentru Mediu. </w:t>
      </w:r>
    </w:p>
    <w:p w14:paraId="16945431" w14:textId="77777777" w:rsidR="006501D2" w:rsidRPr="000746EA" w:rsidRDefault="00596CE1" w:rsidP="003E73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6EA">
        <w:rPr>
          <w:rFonts w:ascii="Times New Roman" w:hAnsi="Times New Roman"/>
          <w:sz w:val="24"/>
          <w:szCs w:val="24"/>
        </w:rPr>
        <w:t xml:space="preserve">(2)Sumele provenite din executarea </w:t>
      </w:r>
      <w:r w:rsidRPr="000746EA">
        <w:rPr>
          <w:rStyle w:val="tpa1"/>
          <w:rFonts w:ascii="Times New Roman" w:hAnsi="Times New Roman"/>
          <w:sz w:val="24"/>
          <w:szCs w:val="24"/>
        </w:rPr>
        <w:t>garanției potrivit alin. (1) se</w:t>
      </w:r>
      <w:r w:rsidRPr="000746EA">
        <w:rPr>
          <w:rFonts w:ascii="Times New Roman" w:hAnsi="Times New Roman"/>
          <w:sz w:val="24"/>
          <w:szCs w:val="24"/>
        </w:rPr>
        <w:t xml:space="preserve"> constituie venit la bugetul Fondului pentru mediu. </w:t>
      </w:r>
    </w:p>
    <w:p w14:paraId="536E9293" w14:textId="2E78948E" w:rsidR="006501D2" w:rsidRPr="000746EA" w:rsidRDefault="00596CE1" w:rsidP="003E73D7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7" w:name="_Hlk93316598"/>
      <w:r w:rsidRPr="000746EA">
        <w:rPr>
          <w:rFonts w:ascii="Times New Roman" w:hAnsi="Times New Roman"/>
          <w:b/>
          <w:bCs/>
          <w:sz w:val="24"/>
          <w:szCs w:val="24"/>
        </w:rPr>
        <w:t>Articolul 12</w:t>
      </w:r>
      <w:r w:rsidRPr="000746EA">
        <w:rPr>
          <w:rFonts w:ascii="Times New Roman" w:hAnsi="Times New Roman"/>
          <w:b/>
          <w:bCs/>
          <w:sz w:val="24"/>
          <w:szCs w:val="24"/>
          <w:vertAlign w:val="superscript"/>
        </w:rPr>
        <w:t>3</w:t>
      </w:r>
    </w:p>
    <w:p w14:paraId="53F9E2C6" w14:textId="77777777" w:rsidR="006501D2" w:rsidRPr="000746EA" w:rsidRDefault="00596CE1" w:rsidP="003E73D7">
      <w:pPr>
        <w:pStyle w:val="ListParagraph"/>
        <w:numPr>
          <w:ilvl w:val="0"/>
          <w:numId w:val="2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46EA">
        <w:rPr>
          <w:rFonts w:ascii="Times New Roman" w:hAnsi="Times New Roman"/>
          <w:sz w:val="24"/>
          <w:szCs w:val="24"/>
        </w:rPr>
        <w:t>Administraţia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Fondului gestionează garanția financiară de mediu constituită conform prevederilor art. </w:t>
      </w:r>
      <w:r w:rsidRPr="000746EA">
        <w:rPr>
          <w:rFonts w:ascii="Times New Roman" w:hAnsi="Times New Roman"/>
          <w:sz w:val="24"/>
          <w:szCs w:val="24"/>
        </w:rPr>
        <w:t>13 și art. 40 lit. a) din Ordonanța Guvernului nr. 2/2021 privind depozitarea deșeurilor, de către proprietarii sau administratorii depozitelor.</w:t>
      </w:r>
    </w:p>
    <w:p w14:paraId="347DA9CF" w14:textId="77777777" w:rsidR="006501D2" w:rsidRPr="000746EA" w:rsidRDefault="00596CE1">
      <w:pPr>
        <w:pStyle w:val="ListParagraph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46EA">
        <w:rPr>
          <w:rFonts w:ascii="Times New Roman" w:hAnsi="Times New Roman"/>
          <w:sz w:val="24"/>
          <w:szCs w:val="24"/>
        </w:rPr>
        <w:t xml:space="preserve">Sumele reprezentând </w:t>
      </w:r>
      <w:r w:rsidRPr="000746EA">
        <w:rPr>
          <w:rStyle w:val="tpa1"/>
          <w:rFonts w:ascii="Times New Roman" w:hAnsi="Times New Roman"/>
          <w:sz w:val="24"/>
          <w:szCs w:val="24"/>
        </w:rPr>
        <w:t>garanția constituită potrivit alin. (1) se</w:t>
      </w:r>
      <w:r w:rsidRPr="000746EA">
        <w:rPr>
          <w:rFonts w:ascii="Times New Roman" w:hAnsi="Times New Roman"/>
          <w:sz w:val="24"/>
          <w:szCs w:val="24"/>
        </w:rPr>
        <w:t xml:space="preserve"> constituie venit la bugetul Fondului pentru medi</w:t>
      </w:r>
      <w:r w:rsidRPr="000746EA">
        <w:rPr>
          <w:rFonts w:ascii="Times New Roman" w:hAnsi="Times New Roman"/>
          <w:sz w:val="24"/>
          <w:szCs w:val="24"/>
        </w:rPr>
        <w:t>u.</w:t>
      </w:r>
    </w:p>
    <w:p w14:paraId="53E848E8" w14:textId="77777777" w:rsidR="006501D2" w:rsidRPr="000746EA" w:rsidRDefault="00596CE1">
      <w:pPr>
        <w:pStyle w:val="ListParagraph"/>
        <w:numPr>
          <w:ilvl w:val="0"/>
          <w:numId w:val="23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46EA">
        <w:rPr>
          <w:rFonts w:ascii="Times New Roman" w:hAnsi="Times New Roman"/>
          <w:sz w:val="24"/>
          <w:szCs w:val="24"/>
        </w:rPr>
        <w:t>Valoarea lucrărilor stabilite prin proiectul tehnic al depozitului se va actualiza anual</w:t>
      </w:r>
      <w:r w:rsidRPr="000746EA">
        <w:rPr>
          <w:rFonts w:ascii="Times New Roman" w:hAnsi="Times New Roman"/>
          <w:sz w:val="24"/>
          <w:szCs w:val="24"/>
        </w:rPr>
        <w:t>.</w:t>
      </w:r>
    </w:p>
    <w:p w14:paraId="1141DCE7" w14:textId="77777777" w:rsidR="006501D2" w:rsidRPr="000746EA" w:rsidRDefault="00596CE1">
      <w:pPr>
        <w:pStyle w:val="ListParagraph"/>
        <w:numPr>
          <w:ilvl w:val="0"/>
          <w:numId w:val="23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Style w:val="tpa1"/>
          <w:rFonts w:ascii="Times New Roman" w:hAnsi="Times New Roman"/>
          <w:sz w:val="24"/>
          <w:szCs w:val="24"/>
        </w:rPr>
      </w:pP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>Administrația Fondului pentru Mediu</w:t>
      </w:r>
      <w:r w:rsidRPr="000746EA">
        <w:rPr>
          <w:rStyle w:val="tpa1"/>
          <w:rFonts w:ascii="Times New Roman" w:hAnsi="Times New Roman"/>
          <w:sz w:val="24"/>
          <w:szCs w:val="24"/>
        </w:rPr>
        <w:t xml:space="preserve"> verifică corectitudinea modului de calcul </w:t>
      </w:r>
      <w:proofErr w:type="spellStart"/>
      <w:r w:rsidRPr="000746EA">
        <w:rPr>
          <w:rStyle w:val="tpa1"/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Style w:val="tpa1"/>
          <w:rFonts w:ascii="Times New Roman" w:hAnsi="Times New Roman"/>
          <w:sz w:val="24"/>
          <w:szCs w:val="24"/>
        </w:rPr>
        <w:t xml:space="preserve"> de constituire a </w:t>
      </w:r>
      <w:proofErr w:type="spellStart"/>
      <w:r w:rsidRPr="000746EA">
        <w:rPr>
          <w:rStyle w:val="tpa1"/>
          <w:rFonts w:ascii="Times New Roman" w:hAnsi="Times New Roman"/>
          <w:sz w:val="24"/>
          <w:szCs w:val="24"/>
        </w:rPr>
        <w:t>garanţiei</w:t>
      </w:r>
      <w:proofErr w:type="spellEnd"/>
      <w:r w:rsidRPr="000746EA">
        <w:rPr>
          <w:rStyle w:val="tpa1"/>
          <w:rFonts w:ascii="Times New Roman" w:hAnsi="Times New Roman"/>
          <w:sz w:val="24"/>
          <w:szCs w:val="24"/>
        </w:rPr>
        <w:t xml:space="preserve">  prevăzute la alin. (1).</w:t>
      </w:r>
    </w:p>
    <w:bookmarkEnd w:id="7"/>
    <w:p w14:paraId="26C43D9F" w14:textId="77777777" w:rsidR="006501D2" w:rsidRPr="000746EA" w:rsidRDefault="00596CE1">
      <w:pPr>
        <w:pStyle w:val="ListParagraph"/>
        <w:numPr>
          <w:ilvl w:val="0"/>
          <w:numId w:val="23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46EA">
        <w:rPr>
          <w:rFonts w:ascii="Times New Roman" w:hAnsi="Times New Roman"/>
          <w:sz w:val="24"/>
          <w:szCs w:val="24"/>
        </w:rPr>
        <w:t xml:space="preserve">Metodologia de 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 xml:space="preserve">constituire și 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 xml:space="preserve">gestionare a garanției financiare de mediu </w:t>
      </w:r>
      <w:r w:rsidRPr="000746EA">
        <w:rPr>
          <w:rFonts w:ascii="Times New Roman" w:hAnsi="Times New Roman"/>
          <w:sz w:val="24"/>
          <w:szCs w:val="24"/>
        </w:rPr>
        <w:t>prevăzute la alin. (1)</w:t>
      </w:r>
      <w:r w:rsidRPr="000746EA">
        <w:rPr>
          <w:rFonts w:ascii="Times New Roman" w:hAnsi="Times New Roman"/>
          <w:bCs/>
          <w:sz w:val="24"/>
          <w:szCs w:val="24"/>
        </w:rPr>
        <w:t>,</w:t>
      </w:r>
      <w:r w:rsidRPr="000746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>precum și cu privire la utilizarea acesteia de către Administrația Fondului pentru Mediu,</w:t>
      </w:r>
      <w:r w:rsidRPr="000746EA">
        <w:rPr>
          <w:rFonts w:ascii="Times New Roman" w:hAnsi="Times New Roman"/>
          <w:sz w:val="24"/>
          <w:szCs w:val="24"/>
        </w:rPr>
        <w:t xml:space="preserve"> se stabilește prin ordin al conducătorului </w:t>
      </w:r>
      <w:proofErr w:type="spellStart"/>
      <w:r w:rsidRPr="000746EA">
        <w:rPr>
          <w:rFonts w:ascii="Times New Roman" w:hAnsi="Times New Roman"/>
          <w:sz w:val="24"/>
          <w:szCs w:val="24"/>
        </w:rPr>
        <w:t>autorităţii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publice centrale pentru </w:t>
      </w:r>
      <w:proofErr w:type="spellStart"/>
      <w:r w:rsidRPr="000746EA">
        <w:rPr>
          <w:rFonts w:ascii="Times New Roman" w:hAnsi="Times New Roman"/>
          <w:sz w:val="24"/>
          <w:szCs w:val="24"/>
        </w:rPr>
        <w:t>protecţia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mediului, </w:t>
      </w:r>
      <w:r w:rsidRPr="000746EA">
        <w:rPr>
          <w:rFonts w:ascii="Times New Roman" w:hAnsi="Times New Roman"/>
          <w:sz w:val="24"/>
          <w:szCs w:val="24"/>
        </w:rPr>
        <w:t>la inițiativa Administrației Fondului pentru Mediu.</w:t>
      </w:r>
    </w:p>
    <w:p w14:paraId="517CBCF9" w14:textId="77777777" w:rsidR="006501D2" w:rsidRPr="000746EA" w:rsidRDefault="00596CE1">
      <w:pPr>
        <w:pStyle w:val="ListParagraph"/>
        <w:numPr>
          <w:ilvl w:val="0"/>
          <w:numId w:val="23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Style w:val="tal1"/>
          <w:rFonts w:ascii="Times New Roman" w:hAnsi="Times New Roman"/>
          <w:sz w:val="24"/>
          <w:szCs w:val="24"/>
        </w:rPr>
      </w:pP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>Administrația Fondului pentru Mediu</w:t>
      </w:r>
      <w:r w:rsidRPr="000746EA">
        <w:rPr>
          <w:rStyle w:val="tal1"/>
          <w:rFonts w:ascii="Times New Roman" w:hAnsi="Times New Roman"/>
          <w:sz w:val="24"/>
          <w:szCs w:val="24"/>
        </w:rPr>
        <w:t xml:space="preserve"> execută garanția financiară de mediu sau Fondul pentru închiderea </w:t>
      </w:r>
      <w:proofErr w:type="spellStart"/>
      <w:r w:rsidRPr="000746EA">
        <w:rPr>
          <w:rStyle w:val="tal1"/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Style w:val="tal1"/>
          <w:rFonts w:ascii="Times New Roman" w:hAnsi="Times New Roman"/>
          <w:sz w:val="24"/>
          <w:szCs w:val="24"/>
        </w:rPr>
        <w:t xml:space="preserve"> monitorizarea </w:t>
      </w:r>
      <w:proofErr w:type="spellStart"/>
      <w:r w:rsidRPr="000746EA">
        <w:rPr>
          <w:rStyle w:val="tal1"/>
          <w:rFonts w:ascii="Times New Roman" w:hAnsi="Times New Roman"/>
          <w:sz w:val="24"/>
          <w:szCs w:val="24"/>
        </w:rPr>
        <w:t>postînchidere</w:t>
      </w:r>
      <w:proofErr w:type="spellEnd"/>
      <w:r w:rsidRPr="000746EA">
        <w:rPr>
          <w:rStyle w:val="tal1"/>
          <w:rFonts w:ascii="Times New Roman" w:hAnsi="Times New Roman"/>
          <w:sz w:val="24"/>
          <w:szCs w:val="24"/>
        </w:rPr>
        <w:t xml:space="preserve"> a depozitului, constituite de către </w:t>
      </w:r>
      <w:r w:rsidRPr="000746EA">
        <w:rPr>
          <w:rFonts w:ascii="Times New Roman" w:hAnsi="Times New Roman"/>
          <w:sz w:val="24"/>
          <w:szCs w:val="24"/>
        </w:rPr>
        <w:t>proprietarii sau administratorii de</w:t>
      </w:r>
      <w:r w:rsidRPr="000746EA">
        <w:rPr>
          <w:rFonts w:ascii="Times New Roman" w:hAnsi="Times New Roman"/>
          <w:sz w:val="24"/>
          <w:szCs w:val="24"/>
        </w:rPr>
        <w:t xml:space="preserve">pozitelor </w:t>
      </w:r>
      <w:r w:rsidRPr="000746EA">
        <w:rPr>
          <w:rStyle w:val="tal1"/>
          <w:rFonts w:ascii="Times New Roman" w:hAnsi="Times New Roman"/>
          <w:sz w:val="24"/>
          <w:szCs w:val="24"/>
        </w:rPr>
        <w:t>după cum urmează:</w:t>
      </w:r>
    </w:p>
    <w:p w14:paraId="396A8FD9" w14:textId="77777777" w:rsidR="006501D2" w:rsidRPr="000746EA" w:rsidRDefault="00596CE1">
      <w:pPr>
        <w:tabs>
          <w:tab w:val="left" w:pos="0"/>
          <w:tab w:val="left" w:pos="567"/>
        </w:tabs>
        <w:spacing w:after="0" w:line="240" w:lineRule="auto"/>
        <w:jc w:val="both"/>
        <w:rPr>
          <w:rStyle w:val="tal1"/>
          <w:rFonts w:ascii="Times New Roman" w:hAnsi="Times New Roman"/>
          <w:sz w:val="24"/>
          <w:szCs w:val="24"/>
        </w:rPr>
      </w:pPr>
      <w:r w:rsidRPr="000746EA">
        <w:rPr>
          <w:rStyle w:val="tal1"/>
          <w:rFonts w:ascii="Times New Roman" w:hAnsi="Times New Roman"/>
          <w:sz w:val="24"/>
          <w:szCs w:val="24"/>
        </w:rPr>
        <w:t xml:space="preserve">a) garanția financiară de mediu, în cazul în care se constată neconformități privind cerințele de protecție a mediului și a sănătății populației și/sau cele din autorizația de mediu/autorizația integrată de mediu și acestea nu </w:t>
      </w:r>
      <w:r w:rsidRPr="000746EA">
        <w:rPr>
          <w:rStyle w:val="tal1"/>
          <w:rFonts w:ascii="Times New Roman" w:hAnsi="Times New Roman"/>
          <w:sz w:val="24"/>
          <w:szCs w:val="24"/>
        </w:rPr>
        <w:t>sunt remediate de către operator/titular sau administratorul depozitului;</w:t>
      </w:r>
    </w:p>
    <w:p w14:paraId="481D472E" w14:textId="77777777" w:rsidR="006501D2" w:rsidRPr="000746EA" w:rsidRDefault="00596CE1">
      <w:pPr>
        <w:tabs>
          <w:tab w:val="left" w:pos="0"/>
          <w:tab w:val="left" w:pos="567"/>
        </w:tabs>
        <w:spacing w:after="0" w:line="240" w:lineRule="auto"/>
        <w:jc w:val="both"/>
        <w:rPr>
          <w:rStyle w:val="tal1"/>
          <w:rFonts w:ascii="Times New Roman" w:hAnsi="Times New Roman"/>
          <w:sz w:val="24"/>
          <w:szCs w:val="24"/>
        </w:rPr>
      </w:pPr>
      <w:r w:rsidRPr="000746EA">
        <w:rPr>
          <w:rStyle w:val="tal1"/>
          <w:rFonts w:ascii="Times New Roman" w:hAnsi="Times New Roman"/>
          <w:sz w:val="24"/>
          <w:szCs w:val="24"/>
        </w:rPr>
        <w:t xml:space="preserve">b) fondul pentru închiderea </w:t>
      </w:r>
      <w:proofErr w:type="spellStart"/>
      <w:r w:rsidRPr="000746EA">
        <w:rPr>
          <w:rStyle w:val="tal1"/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Style w:val="tal1"/>
          <w:rFonts w:ascii="Times New Roman" w:hAnsi="Times New Roman"/>
          <w:sz w:val="24"/>
          <w:szCs w:val="24"/>
        </w:rPr>
        <w:t xml:space="preserve"> monitorizarea </w:t>
      </w:r>
      <w:proofErr w:type="spellStart"/>
      <w:r w:rsidRPr="000746EA">
        <w:rPr>
          <w:rStyle w:val="tal1"/>
          <w:rFonts w:ascii="Times New Roman" w:hAnsi="Times New Roman"/>
          <w:sz w:val="24"/>
          <w:szCs w:val="24"/>
        </w:rPr>
        <w:t>postînchidere</w:t>
      </w:r>
      <w:proofErr w:type="spellEnd"/>
      <w:r w:rsidRPr="000746EA">
        <w:rPr>
          <w:rStyle w:val="tal1"/>
          <w:rFonts w:ascii="Times New Roman" w:hAnsi="Times New Roman"/>
          <w:sz w:val="24"/>
          <w:szCs w:val="24"/>
        </w:rPr>
        <w:t>, în cazul în care, la finalul perioadei de operare a depozitului, nu sunt realizate lucrările de închidere sau cele referit</w:t>
      </w:r>
      <w:r w:rsidRPr="000746EA">
        <w:rPr>
          <w:rStyle w:val="tal1"/>
          <w:rFonts w:ascii="Times New Roman" w:hAnsi="Times New Roman"/>
          <w:sz w:val="24"/>
          <w:szCs w:val="24"/>
        </w:rPr>
        <w:t xml:space="preserve">oarea la monitorizarea </w:t>
      </w:r>
      <w:proofErr w:type="spellStart"/>
      <w:r w:rsidRPr="000746EA">
        <w:rPr>
          <w:rStyle w:val="tal1"/>
          <w:rFonts w:ascii="Times New Roman" w:hAnsi="Times New Roman"/>
          <w:sz w:val="24"/>
          <w:szCs w:val="24"/>
        </w:rPr>
        <w:t>postînchidere</w:t>
      </w:r>
      <w:proofErr w:type="spellEnd"/>
      <w:r w:rsidRPr="000746EA">
        <w:rPr>
          <w:rStyle w:val="tal1"/>
          <w:rFonts w:ascii="Times New Roman" w:hAnsi="Times New Roman"/>
          <w:sz w:val="24"/>
          <w:szCs w:val="24"/>
        </w:rPr>
        <w:t>, conform proiectului tehnic de închidere a depozitului;</w:t>
      </w:r>
    </w:p>
    <w:p w14:paraId="26409744" w14:textId="77777777" w:rsidR="006501D2" w:rsidRPr="000746EA" w:rsidRDefault="00596CE1">
      <w:pPr>
        <w:tabs>
          <w:tab w:val="left" w:pos="0"/>
          <w:tab w:val="left" w:pos="567"/>
        </w:tabs>
        <w:spacing w:after="0" w:line="240" w:lineRule="auto"/>
        <w:jc w:val="both"/>
        <w:rPr>
          <w:rStyle w:val="tal1"/>
          <w:rFonts w:ascii="Times New Roman" w:hAnsi="Times New Roman"/>
          <w:sz w:val="24"/>
          <w:szCs w:val="24"/>
        </w:rPr>
      </w:pPr>
      <w:r w:rsidRPr="000746EA">
        <w:rPr>
          <w:rStyle w:val="tal1"/>
          <w:rFonts w:ascii="Times New Roman" w:hAnsi="Times New Roman"/>
          <w:sz w:val="24"/>
          <w:szCs w:val="24"/>
        </w:rPr>
        <w:lastRenderedPageBreak/>
        <w:t>c) în cazul în care proprietarii sau administratorii depozitelor intră în procedura de faliment sau reorganizare judiciară;</w:t>
      </w:r>
    </w:p>
    <w:p w14:paraId="16F7C03B" w14:textId="77777777" w:rsidR="006501D2" w:rsidRPr="000746EA" w:rsidRDefault="00596CE1">
      <w:pPr>
        <w:tabs>
          <w:tab w:val="left" w:pos="0"/>
          <w:tab w:val="left" w:pos="567"/>
        </w:tabs>
        <w:spacing w:after="0" w:line="240" w:lineRule="auto"/>
        <w:jc w:val="both"/>
        <w:rPr>
          <w:rStyle w:val="tal1"/>
          <w:rFonts w:ascii="Times New Roman" w:hAnsi="Times New Roman"/>
          <w:sz w:val="24"/>
          <w:szCs w:val="24"/>
        </w:rPr>
      </w:pPr>
      <w:r w:rsidRPr="000746EA">
        <w:rPr>
          <w:rStyle w:val="tal1"/>
          <w:rFonts w:ascii="Times New Roman" w:hAnsi="Times New Roman"/>
          <w:sz w:val="24"/>
          <w:szCs w:val="24"/>
        </w:rPr>
        <w:t xml:space="preserve">d) în alte cazuri prevăzute de </w:t>
      </w:r>
      <w:r w:rsidRPr="000746EA">
        <w:rPr>
          <w:rFonts w:ascii="Times New Roman" w:hAnsi="Times New Roman"/>
          <w:sz w:val="24"/>
          <w:szCs w:val="24"/>
        </w:rPr>
        <w:t>Ordonanț</w:t>
      </w:r>
      <w:r w:rsidRPr="000746EA">
        <w:rPr>
          <w:rFonts w:ascii="Times New Roman" w:hAnsi="Times New Roman"/>
          <w:sz w:val="24"/>
          <w:szCs w:val="24"/>
        </w:rPr>
        <w:t>a Guvernului nr. 2/2021 privind depozitarea deșeurilor</w:t>
      </w:r>
      <w:r w:rsidRPr="000746EA">
        <w:rPr>
          <w:rStyle w:val="tal1"/>
          <w:rFonts w:ascii="Times New Roman" w:hAnsi="Times New Roman"/>
          <w:sz w:val="24"/>
          <w:szCs w:val="24"/>
        </w:rPr>
        <w:t>.</w:t>
      </w:r>
    </w:p>
    <w:p w14:paraId="39965793" w14:textId="5C0BAA45" w:rsidR="006501D2" w:rsidRPr="000746EA" w:rsidRDefault="00596CE1">
      <w:pPr>
        <w:pStyle w:val="ListParagraph"/>
        <w:numPr>
          <w:ilvl w:val="0"/>
          <w:numId w:val="23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46EA">
        <w:rPr>
          <w:rFonts w:ascii="Times New Roman" w:hAnsi="Times New Roman"/>
          <w:sz w:val="24"/>
          <w:szCs w:val="24"/>
        </w:rPr>
        <w:t xml:space="preserve"> Sumele </w:t>
      </w:r>
      <w:proofErr w:type="spellStart"/>
      <w:r w:rsidRPr="000746EA">
        <w:rPr>
          <w:rFonts w:ascii="Times New Roman" w:hAnsi="Times New Roman"/>
          <w:sz w:val="24"/>
          <w:szCs w:val="24"/>
        </w:rPr>
        <w:t>ȋ</w:t>
      </w:r>
      <w:r w:rsidRPr="000746EA">
        <w:rPr>
          <w:rFonts w:ascii="Times New Roman" w:hAnsi="Times New Roman"/>
          <w:sz w:val="24"/>
          <w:szCs w:val="24"/>
        </w:rPr>
        <w:t>ncasate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de 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>Administrația Fondului pentru Mediu</w:t>
      </w:r>
      <w:r w:rsidRPr="000746EA">
        <w:rPr>
          <w:rFonts w:ascii="Times New Roman" w:hAnsi="Times New Roman"/>
          <w:sz w:val="24"/>
          <w:szCs w:val="24"/>
        </w:rPr>
        <w:t xml:space="preserve"> ca urmare a executării garanțiilor financiare de mediu rămân la dispoziția 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>Administrației Fondului pentru Mediu, iar după perioada de monitoriza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>re post închidere se utilize</w:t>
      </w:r>
      <w:r w:rsidR="00277CE2"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>a</w:t>
      </w:r>
      <w:r w:rsidRPr="000746EA">
        <w:rPr>
          <w:rStyle w:val="do1"/>
          <w:rFonts w:ascii="Times New Roman" w:hAnsi="Times New Roman"/>
          <w:b w:val="0"/>
          <w:bCs/>
          <w:sz w:val="24"/>
          <w:szCs w:val="24"/>
        </w:rPr>
        <w:t xml:space="preserve">ză </w:t>
      </w:r>
      <w:r w:rsidRPr="000746EA">
        <w:rPr>
          <w:rFonts w:ascii="Times New Roman" w:hAnsi="Times New Roman"/>
          <w:sz w:val="24"/>
          <w:szCs w:val="24"/>
        </w:rPr>
        <w:t xml:space="preserve">pentru </w:t>
      </w:r>
      <w:proofErr w:type="spellStart"/>
      <w:r w:rsidRPr="000746EA">
        <w:rPr>
          <w:rFonts w:ascii="Times New Roman" w:hAnsi="Times New Roman"/>
          <w:sz w:val="24"/>
          <w:szCs w:val="24"/>
        </w:rPr>
        <w:t>finanţarea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proiectelor privind </w:t>
      </w:r>
      <w:r w:rsidR="00277CE2" w:rsidRPr="000746EA">
        <w:rPr>
          <w:rFonts w:ascii="Times New Roman" w:hAnsi="Times New Roman"/>
          <w:sz w:val="24"/>
          <w:szCs w:val="24"/>
        </w:rPr>
        <w:t>gestionarea</w:t>
      </w:r>
      <w:r w:rsidRPr="000746EA">
        <w:rPr>
          <w:rFonts w:ascii="Times New Roman" w:hAnsi="Times New Roman"/>
          <w:sz w:val="24"/>
          <w:szCs w:val="24"/>
        </w:rPr>
        <w:t xml:space="preserve"> deșeuri</w:t>
      </w:r>
      <w:r w:rsidR="00277CE2" w:rsidRPr="000746EA">
        <w:rPr>
          <w:rFonts w:ascii="Times New Roman" w:hAnsi="Times New Roman"/>
          <w:sz w:val="24"/>
          <w:szCs w:val="24"/>
        </w:rPr>
        <w:t>lor</w:t>
      </w:r>
      <w:r w:rsidRPr="000746EA">
        <w:rPr>
          <w:rFonts w:ascii="Times New Roman" w:hAnsi="Times New Roman"/>
          <w:sz w:val="24"/>
          <w:szCs w:val="24"/>
        </w:rPr>
        <w:t xml:space="preserve">. </w:t>
      </w:r>
    </w:p>
    <w:p w14:paraId="57AA6876" w14:textId="77777777" w:rsidR="006501D2" w:rsidRPr="000746EA" w:rsidRDefault="00596CE1">
      <w:pPr>
        <w:pStyle w:val="ListParagraph"/>
        <w:numPr>
          <w:ilvl w:val="0"/>
          <w:numId w:val="23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Administrația Fondului pentru Mediu avizează proiectul tehnic actualizat de închidere </w:t>
      </w:r>
      <w:proofErr w:type="spellStart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>şi</w:t>
      </w:r>
      <w:proofErr w:type="spellEnd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 monitorizare </w:t>
      </w:r>
      <w:proofErr w:type="spellStart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>postînchidere</w:t>
      </w:r>
      <w:proofErr w:type="spellEnd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 a depozitului de deșeuri, conform art. 40 </w:t>
      </w:r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lit. b) din Ordonanța de Guvern nr. 2/2021 privind depozitarea </w:t>
      </w:r>
      <w:proofErr w:type="spellStart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>deşeurilor</w:t>
      </w:r>
      <w:proofErr w:type="spellEnd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, dacă valoarea fondului pentru închiderea și monitorizarea </w:t>
      </w:r>
      <w:proofErr w:type="spellStart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>postînchidere</w:t>
      </w:r>
      <w:proofErr w:type="spellEnd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 corespunde cuantumului costurilor lucrărilor de închidere și monitorizarea </w:t>
      </w:r>
      <w:proofErr w:type="spellStart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>postînchidere</w:t>
      </w:r>
      <w:proofErr w:type="spellEnd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 a depozitului, valoa</w:t>
      </w:r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>re care este stabilită și asumată de către proiectant și actualizată cu indicele de inflație.</w:t>
      </w:r>
    </w:p>
    <w:p w14:paraId="3F764A56" w14:textId="77777777" w:rsidR="006501D2" w:rsidRPr="000746EA" w:rsidRDefault="00596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(9) Verificarea valorii fondului pentru închiderea și monitorizarea </w:t>
      </w:r>
      <w:proofErr w:type="spellStart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>postînchidere</w:t>
      </w:r>
      <w:proofErr w:type="spellEnd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 se va efectua în baza devizelor generale privind cheltuielile necesare realizări</w:t>
      </w:r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i lucrărilor de închidere și pentru monitorizarea </w:t>
      </w:r>
      <w:proofErr w:type="spellStart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>postînchidere</w:t>
      </w:r>
      <w:proofErr w:type="spellEnd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 a depozitului.”</w:t>
      </w:r>
    </w:p>
    <w:p w14:paraId="380EAC6B" w14:textId="77777777" w:rsidR="006501D2" w:rsidRPr="000746EA" w:rsidRDefault="006501D2">
      <w:pPr>
        <w:pStyle w:val="ListParagraph"/>
        <w:tabs>
          <w:tab w:val="left" w:pos="0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5F96348" w14:textId="71DE1431" w:rsidR="006501D2" w:rsidRPr="000746EA" w:rsidRDefault="00596CE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 w:rsidRPr="000746EA">
        <w:rPr>
          <w:rFonts w:ascii="Times New Roman" w:hAnsi="Times New Roman"/>
          <w:b/>
          <w:bCs/>
          <w:sz w:val="24"/>
          <w:szCs w:val="24"/>
        </w:rPr>
        <w:t>2</w:t>
      </w:r>
      <w:r w:rsidR="00431090" w:rsidRPr="000746EA">
        <w:rPr>
          <w:rFonts w:ascii="Times New Roman" w:hAnsi="Times New Roman"/>
          <w:b/>
          <w:bCs/>
          <w:sz w:val="24"/>
          <w:szCs w:val="24"/>
        </w:rPr>
        <w:t>0</w:t>
      </w:r>
      <w:r w:rsidRPr="000746EA">
        <w:rPr>
          <w:rFonts w:ascii="Times New Roman" w:hAnsi="Times New Roman"/>
          <w:b/>
          <w:bCs/>
          <w:sz w:val="24"/>
          <w:szCs w:val="24"/>
        </w:rPr>
        <w:t>.</w:t>
      </w:r>
      <w:r w:rsidRPr="000746EA">
        <w:rPr>
          <w:b/>
          <w:bCs/>
        </w:rPr>
        <w:t xml:space="preserve"> </w:t>
      </w:r>
      <w:r w:rsidRPr="000746E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La articolul 13,  alineatul (2^5) se modifică </w:t>
      </w:r>
      <w:proofErr w:type="spellStart"/>
      <w:r w:rsidRPr="000746E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şi</w:t>
      </w:r>
      <w:proofErr w:type="spellEnd"/>
      <w:r w:rsidRPr="000746E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va avea următorul cuprins:</w:t>
      </w:r>
    </w:p>
    <w:p w14:paraId="6B6295E6" w14:textId="7C30E346" w:rsidR="006501D2" w:rsidRPr="000746EA" w:rsidRDefault="00596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>„(2^5)Sumele rezultate din aplicarea prevederilor art. 9 alin. (1) lit. c)</w:t>
      </w:r>
      <w:r w:rsidR="002432E5"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>v), se utilizează</w:t>
      </w:r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 pentru finanțarea dezvoltării infrastructurii gestionării deșeurilor în vederea atingerii obiectivelor </w:t>
      </w:r>
      <w:proofErr w:type="spellStart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>naţionale</w:t>
      </w:r>
      <w:proofErr w:type="spellEnd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 în domeniu, având la bază strategia stabilită de autoritatea publică centrală pentru </w:t>
      </w:r>
      <w:proofErr w:type="spellStart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>protecţia</w:t>
      </w:r>
      <w:proofErr w:type="spellEnd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 mediului.”</w:t>
      </w:r>
    </w:p>
    <w:p w14:paraId="401D831A" w14:textId="77777777" w:rsidR="006501D2" w:rsidRPr="000746EA" w:rsidRDefault="006501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473B61AC" w14:textId="3C30004E" w:rsidR="006501D2" w:rsidRPr="000746EA" w:rsidRDefault="00596C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2</w:t>
      </w:r>
      <w:r w:rsidR="00431090" w:rsidRPr="000746E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1</w:t>
      </w:r>
      <w:r w:rsidRPr="000746E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. La articolul 13, alineatul </w:t>
      </w:r>
      <w:r w:rsidRPr="000746E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(5^1) se modifică și va avea următorul cuprins:</w:t>
      </w:r>
    </w:p>
    <w:p w14:paraId="4C1EEC89" w14:textId="77777777" w:rsidR="006501D2" w:rsidRPr="000746EA" w:rsidRDefault="00596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>”(5</w:t>
      </w:r>
      <w:bookmarkStart w:id="8" w:name="_Hlk108514767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>^</w:t>
      </w:r>
      <w:bookmarkEnd w:id="8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1) Beneficiarul proiectelor/programelor prevăzute la alin. (1) lit. m), s) și w) poate fi </w:t>
      </w:r>
      <w:proofErr w:type="spellStart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>şi</w:t>
      </w:r>
      <w:proofErr w:type="spellEnd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>Administraţia</w:t>
      </w:r>
      <w:proofErr w:type="spellEnd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 Fondului, în acest caz aplicându-se prevederile </w:t>
      </w:r>
      <w:proofErr w:type="spellStart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>legislaţiei</w:t>
      </w:r>
      <w:proofErr w:type="spellEnd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 în vigoare privind </w:t>
      </w:r>
      <w:proofErr w:type="spellStart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>achiziţiile</w:t>
      </w:r>
      <w:proofErr w:type="spellEnd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 public</w:t>
      </w:r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e. Prin </w:t>
      </w:r>
      <w:proofErr w:type="spellStart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>excepţie</w:t>
      </w:r>
      <w:proofErr w:type="spellEnd"/>
      <w:r w:rsidRPr="000746EA">
        <w:rPr>
          <w:rFonts w:ascii="Times New Roman" w:eastAsia="Times New Roman" w:hAnsi="Times New Roman"/>
          <w:sz w:val="24"/>
          <w:szCs w:val="24"/>
          <w:lang w:eastAsia="ro-RO"/>
        </w:rPr>
        <w:t xml:space="preserve"> de la alin. (7), finanțarea se acordă în baza aprobării Comitetului de avizare.”</w:t>
      </w:r>
    </w:p>
    <w:p w14:paraId="59651092" w14:textId="46CE0D2E" w:rsidR="006501D2" w:rsidRPr="000746EA" w:rsidRDefault="00596CE1">
      <w:pPr>
        <w:pStyle w:val="NormalWeb"/>
        <w:spacing w:before="100" w:beforeAutospacing="1"/>
        <w:rPr>
          <w:rFonts w:ascii="Times New Roman" w:eastAsia="Calibri" w:hAnsi="Times New Roman"/>
          <w:color w:val="auto"/>
          <w:sz w:val="24"/>
          <w:szCs w:val="24"/>
        </w:rPr>
      </w:pPr>
      <w:r w:rsidRPr="000746EA">
        <w:rPr>
          <w:rFonts w:ascii="Times New Roman" w:eastAsia="Calibri" w:hAnsi="Times New Roman"/>
          <w:b/>
          <w:color w:val="auto"/>
          <w:sz w:val="24"/>
          <w:szCs w:val="24"/>
        </w:rPr>
        <w:t>2</w:t>
      </w:r>
      <w:r w:rsidR="00431090" w:rsidRPr="000746EA">
        <w:rPr>
          <w:rFonts w:ascii="Times New Roman" w:eastAsia="Calibri" w:hAnsi="Times New Roman"/>
          <w:b/>
          <w:color w:val="auto"/>
          <w:sz w:val="24"/>
          <w:szCs w:val="24"/>
        </w:rPr>
        <w:t>2</w:t>
      </w:r>
      <w:r w:rsidRPr="000746EA">
        <w:rPr>
          <w:rFonts w:ascii="Times New Roman" w:eastAsia="Calibri" w:hAnsi="Times New Roman"/>
          <w:b/>
          <w:color w:val="auto"/>
          <w:sz w:val="24"/>
          <w:szCs w:val="24"/>
        </w:rPr>
        <w:t>. La articolul 15, alineatul (5) se modifică și va avea următorul cuprins</w:t>
      </w:r>
      <w:r w:rsidRPr="000746EA">
        <w:rPr>
          <w:rFonts w:ascii="Times New Roman" w:eastAsia="Calibri" w:hAnsi="Times New Roman"/>
          <w:b/>
          <w:color w:val="auto"/>
          <w:sz w:val="24"/>
          <w:szCs w:val="24"/>
        </w:rPr>
        <w:t>:</w:t>
      </w:r>
    </w:p>
    <w:p w14:paraId="153991D9" w14:textId="386BB4A9" w:rsidR="006501D2" w:rsidRPr="000746EA" w:rsidRDefault="00596CE1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746EA">
        <w:rPr>
          <w:rFonts w:ascii="Times New Roman" w:eastAsiaTheme="minorHAnsi" w:hAnsi="Times New Roman"/>
          <w:sz w:val="24"/>
          <w:szCs w:val="24"/>
        </w:rPr>
        <w:t xml:space="preserve">„(5) Neutilizarea </w:t>
      </w:r>
      <w:proofErr w:type="spellStart"/>
      <w:r w:rsidRPr="000746EA">
        <w:rPr>
          <w:rFonts w:ascii="Times New Roman" w:eastAsiaTheme="minorHAnsi" w:hAnsi="Times New Roman"/>
          <w:sz w:val="24"/>
          <w:szCs w:val="24"/>
        </w:rPr>
        <w:t>aplicaţiei</w:t>
      </w:r>
      <w:proofErr w:type="spellEnd"/>
      <w:r w:rsidRPr="000746EA">
        <w:rPr>
          <w:rFonts w:ascii="Times New Roman" w:eastAsiaTheme="minorHAnsi" w:hAnsi="Times New Roman"/>
          <w:sz w:val="24"/>
          <w:szCs w:val="24"/>
        </w:rPr>
        <w:t xml:space="preserve"> informatice SIATD de către persoanele juridice prevă</w:t>
      </w:r>
      <w:r w:rsidRPr="000746EA">
        <w:rPr>
          <w:rFonts w:ascii="Times New Roman" w:eastAsiaTheme="minorHAnsi" w:hAnsi="Times New Roman"/>
          <w:sz w:val="24"/>
          <w:szCs w:val="24"/>
        </w:rPr>
        <w:t xml:space="preserve">zute la art. 10 alin. (9), (11) </w:t>
      </w:r>
      <w:r w:rsidR="00684545" w:rsidRPr="000746EA">
        <w:rPr>
          <w:rFonts w:ascii="Times New Roman" w:eastAsiaTheme="minorHAnsi" w:hAnsi="Times New Roman"/>
          <w:sz w:val="24"/>
          <w:szCs w:val="24"/>
        </w:rPr>
        <w:t>- (13)</w:t>
      </w:r>
      <w:r w:rsidRPr="000746EA">
        <w:rPr>
          <w:rFonts w:ascii="Times New Roman" w:eastAsiaTheme="minorHAnsi" w:hAnsi="Times New Roman"/>
          <w:sz w:val="24"/>
          <w:szCs w:val="24"/>
        </w:rPr>
        <w:t xml:space="preserve">, constituie </w:t>
      </w:r>
      <w:proofErr w:type="spellStart"/>
      <w:r w:rsidRPr="000746EA">
        <w:rPr>
          <w:rFonts w:ascii="Times New Roman" w:eastAsiaTheme="minorHAnsi" w:hAnsi="Times New Roman"/>
          <w:sz w:val="24"/>
          <w:szCs w:val="24"/>
        </w:rPr>
        <w:t>contravenţie</w:t>
      </w:r>
      <w:proofErr w:type="spellEnd"/>
      <w:r w:rsidRPr="000746E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746EA">
        <w:rPr>
          <w:rFonts w:ascii="Times New Roman" w:eastAsiaTheme="minorHAnsi" w:hAnsi="Times New Roman"/>
          <w:sz w:val="24"/>
          <w:szCs w:val="24"/>
        </w:rPr>
        <w:t>şi</w:t>
      </w:r>
      <w:proofErr w:type="spellEnd"/>
      <w:r w:rsidRPr="000746EA">
        <w:rPr>
          <w:rFonts w:ascii="Times New Roman" w:eastAsiaTheme="minorHAnsi" w:hAnsi="Times New Roman"/>
          <w:sz w:val="24"/>
          <w:szCs w:val="24"/>
        </w:rPr>
        <w:t xml:space="preserve"> se </w:t>
      </w:r>
      <w:proofErr w:type="spellStart"/>
      <w:r w:rsidRPr="000746EA">
        <w:rPr>
          <w:rFonts w:ascii="Times New Roman" w:eastAsiaTheme="minorHAnsi" w:hAnsi="Times New Roman"/>
          <w:sz w:val="24"/>
          <w:szCs w:val="24"/>
        </w:rPr>
        <w:t>sancţionează</w:t>
      </w:r>
      <w:proofErr w:type="spellEnd"/>
      <w:r w:rsidRPr="000746EA">
        <w:rPr>
          <w:rFonts w:ascii="Times New Roman" w:eastAsiaTheme="minorHAnsi" w:hAnsi="Times New Roman"/>
          <w:sz w:val="24"/>
          <w:szCs w:val="24"/>
        </w:rPr>
        <w:t xml:space="preserve"> cu amendă de la 80.000 lei la 100.000 lei.”</w:t>
      </w:r>
    </w:p>
    <w:p w14:paraId="5C9CFF62" w14:textId="77777777" w:rsidR="006501D2" w:rsidRPr="000746EA" w:rsidRDefault="006501D2">
      <w:pPr>
        <w:spacing w:after="0" w:line="259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0DFE2C5E" w14:textId="47484BE6" w:rsidR="006501D2" w:rsidRPr="000746EA" w:rsidRDefault="00596CE1">
      <w:pPr>
        <w:pStyle w:val="NormalWeb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0746EA">
        <w:rPr>
          <w:rFonts w:ascii="Times New Roman" w:eastAsiaTheme="minorHAnsi" w:hAnsi="Times New Roman"/>
          <w:b/>
          <w:bCs/>
          <w:noProof/>
          <w:color w:val="auto"/>
          <w:sz w:val="24"/>
          <w:szCs w:val="24"/>
        </w:rPr>
        <w:t>2</w:t>
      </w:r>
      <w:r w:rsidR="00431090" w:rsidRPr="000746EA">
        <w:rPr>
          <w:rFonts w:ascii="Times New Roman" w:eastAsiaTheme="minorHAnsi" w:hAnsi="Times New Roman"/>
          <w:b/>
          <w:bCs/>
          <w:noProof/>
          <w:color w:val="auto"/>
          <w:sz w:val="24"/>
          <w:szCs w:val="24"/>
        </w:rPr>
        <w:t>3</w:t>
      </w:r>
      <w:r w:rsidRPr="000746EA">
        <w:rPr>
          <w:rFonts w:ascii="Times New Roman" w:eastAsiaTheme="minorHAnsi" w:hAnsi="Times New Roman"/>
          <w:b/>
          <w:bCs/>
          <w:noProof/>
          <w:color w:val="auto"/>
          <w:sz w:val="24"/>
          <w:szCs w:val="24"/>
        </w:rPr>
        <w:t xml:space="preserve">. La </w:t>
      </w:r>
      <w:r w:rsidRPr="000746EA">
        <w:rPr>
          <w:rFonts w:ascii="Times New Roman" w:eastAsia="Calibri" w:hAnsi="Times New Roman"/>
          <w:b/>
          <w:color w:val="auto"/>
          <w:sz w:val="24"/>
          <w:szCs w:val="24"/>
        </w:rPr>
        <w:t>articolul 15, după alineatul (5) se introduc șase noi alineate, alineatele (6)-(11), cu următorul cuprins:</w:t>
      </w:r>
    </w:p>
    <w:p w14:paraId="6AF8DCDA" w14:textId="77777777" w:rsidR="006501D2" w:rsidRPr="000746EA" w:rsidRDefault="00596CE1">
      <w:pPr>
        <w:spacing w:after="0" w:line="240" w:lineRule="auto"/>
        <w:jc w:val="both"/>
        <w:rPr>
          <w:rFonts w:ascii="Times New Roman" w:eastAsiaTheme="minorHAnsi" w:hAnsi="Times New Roman"/>
          <w:bCs/>
          <w:noProof/>
          <w:sz w:val="24"/>
          <w:szCs w:val="24"/>
        </w:rPr>
      </w:pP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>“</w:t>
      </w: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 xml:space="preserve">(6) </w:t>
      </w: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>Nerespectarea de către persoanele prevăzute la art. 10 alin. (9), (11), (12) și (13) a termenelor prevăzute în Instrucţiunile de utilizare a aplicaţiei informatice Sistemul informatic de asigurare a trasabilităţii deşeurilor (SIATD), în vederea monitorizăr</w:t>
      </w: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>ii şi verificării corectitudinii tranzacţiilor cu deşeuri, constituie contravenţie şi se sancţionează cu amendă de la 9.000 lei la 10.000 lei.</w:t>
      </w:r>
    </w:p>
    <w:p w14:paraId="683D74B4" w14:textId="77777777" w:rsidR="006501D2" w:rsidRPr="000746EA" w:rsidRDefault="00596CE1">
      <w:pPr>
        <w:spacing w:before="26" w:after="0" w:line="240" w:lineRule="auto"/>
        <w:jc w:val="both"/>
        <w:rPr>
          <w:rFonts w:ascii="Times New Roman" w:eastAsiaTheme="minorHAnsi" w:hAnsi="Times New Roman"/>
          <w:bCs/>
          <w:noProof/>
          <w:sz w:val="24"/>
          <w:szCs w:val="24"/>
        </w:rPr>
      </w:pP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>(7) Nerespectarea obligației de evidențiere</w:t>
      </w:r>
      <w:r w:rsidRPr="000746EA">
        <w:rPr>
          <w:rFonts w:ascii="Times New Roman" w:eastAsiaTheme="minorHAnsi" w:hAnsi="Times New Roman"/>
          <w:noProof/>
          <w:sz w:val="24"/>
          <w:szCs w:val="24"/>
        </w:rPr>
        <w:t xml:space="preserve"> </w:t>
      </w: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 xml:space="preserve">a ecotaxei pe documentele de vânzare, </w:t>
      </w:r>
      <w:bookmarkStart w:id="9" w:name="_Hlk22903363"/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 xml:space="preserve">prevăzute la art. 9 alin. (1) </w:t>
      </w: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>lit. q), constituie contravenţie și se sancționează cu amendă de la 9.000 lei la 10.000 lei</w:t>
      </w:r>
      <w:bookmarkEnd w:id="9"/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>.</w:t>
      </w:r>
    </w:p>
    <w:p w14:paraId="18B3119B" w14:textId="77777777" w:rsidR="006501D2" w:rsidRPr="000746EA" w:rsidRDefault="00596CE1">
      <w:pPr>
        <w:spacing w:before="26" w:after="0" w:line="240" w:lineRule="auto"/>
        <w:jc w:val="both"/>
        <w:rPr>
          <w:rFonts w:ascii="Times New Roman" w:eastAsiaTheme="minorHAnsi" w:hAnsi="Times New Roman"/>
          <w:bCs/>
          <w:noProof/>
          <w:sz w:val="24"/>
          <w:szCs w:val="24"/>
        </w:rPr>
      </w:pP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>(8) Comercializarea de către operatorii economici prin puncte de vânzare/desfacere a pungilor de uz casnic, prevăzută la art. 9 alin. (1) lit. q), ca ambalaje de d</w:t>
      </w: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>esfacere, constituie contravenţie și se sancționează cu amendă de la 9.000 lei la 10.000 lei.</w:t>
      </w:r>
    </w:p>
    <w:p w14:paraId="28B73696" w14:textId="77777777" w:rsidR="006501D2" w:rsidRPr="000746EA" w:rsidRDefault="00596CE1">
      <w:pPr>
        <w:spacing w:before="26" w:after="0" w:line="240" w:lineRule="auto"/>
        <w:jc w:val="both"/>
        <w:rPr>
          <w:rFonts w:ascii="Times New Roman" w:eastAsiaTheme="minorHAnsi" w:hAnsi="Times New Roman"/>
          <w:bCs/>
          <w:noProof/>
          <w:sz w:val="24"/>
          <w:szCs w:val="24"/>
        </w:rPr>
      </w:pP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 xml:space="preserve">(9) Nerespectarea obligației de inscripționare a pungilor de uz casnic de către operatorii economici care le introduc pe piața națională, constituie contravenţie </w:t>
      </w: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>ș</w:t>
      </w: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>i se sancționează cu amendă de la 20.000 lei la 25.000 lei.</w:t>
      </w:r>
    </w:p>
    <w:p w14:paraId="17B5D2B7" w14:textId="77777777" w:rsidR="006501D2" w:rsidRPr="000746EA" w:rsidRDefault="00596CE1">
      <w:pPr>
        <w:spacing w:before="26" w:after="0" w:line="240" w:lineRule="auto"/>
        <w:jc w:val="both"/>
        <w:rPr>
          <w:rFonts w:ascii="Times New Roman" w:eastAsiaTheme="minorHAnsi" w:hAnsi="Times New Roman"/>
          <w:bCs/>
          <w:noProof/>
          <w:sz w:val="24"/>
          <w:szCs w:val="24"/>
        </w:rPr>
      </w:pP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>(10) Inscripționarea pungilor de uz casnic cu informații incorecte constituie contravenţie și se sancționează cu amendă de la 40.000 lei la 50.000 lei.</w:t>
      </w:r>
    </w:p>
    <w:p w14:paraId="35616F21" w14:textId="77777777" w:rsidR="006501D2" w:rsidRPr="000746EA" w:rsidRDefault="00596CE1">
      <w:pPr>
        <w:spacing w:before="26" w:after="0" w:line="240" w:lineRule="auto"/>
        <w:jc w:val="both"/>
        <w:rPr>
          <w:rFonts w:ascii="Times New Roman" w:eastAsiaTheme="minorHAnsi" w:hAnsi="Times New Roman"/>
          <w:bCs/>
          <w:noProof/>
          <w:sz w:val="24"/>
          <w:szCs w:val="24"/>
        </w:rPr>
      </w:pP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 xml:space="preserve">(11) Calcularea în mod eronat a garanţiei </w:t>
      </w:r>
      <w:r w:rsidRPr="000746EA">
        <w:rPr>
          <w:rStyle w:val="tpa1"/>
          <w:rFonts w:ascii="Times New Roman" w:hAnsi="Times New Roman"/>
          <w:sz w:val="24"/>
          <w:szCs w:val="24"/>
        </w:rPr>
        <w:t>c</w:t>
      </w:r>
      <w:r w:rsidRPr="000746EA">
        <w:rPr>
          <w:rStyle w:val="tpa1"/>
          <w:rFonts w:ascii="Times New Roman" w:hAnsi="Times New Roman"/>
          <w:sz w:val="24"/>
          <w:szCs w:val="24"/>
        </w:rPr>
        <w:t xml:space="preserve">onstituite potrivit prevederilor art. 12^1 alin. (1) </w:t>
      </w:r>
      <w:r w:rsidRPr="000746EA">
        <w:rPr>
          <w:rStyle w:val="tpa1"/>
          <w:rFonts w:ascii="Times New Roman" w:hAnsi="Times New Roman"/>
          <w:sz w:val="24"/>
          <w:szCs w:val="24"/>
          <w:vertAlign w:val="superscript"/>
        </w:rPr>
        <w:t xml:space="preserve"> </w:t>
      </w:r>
      <w:r w:rsidRPr="000746EA">
        <w:rPr>
          <w:rStyle w:val="tpa1"/>
          <w:rFonts w:ascii="Times New Roman" w:hAnsi="Times New Roman"/>
          <w:sz w:val="24"/>
          <w:szCs w:val="24"/>
        </w:rPr>
        <w:t>ș</w:t>
      </w:r>
      <w:r w:rsidRPr="000746EA">
        <w:rPr>
          <w:rStyle w:val="tpa1"/>
          <w:rFonts w:ascii="Times New Roman" w:hAnsi="Times New Roman"/>
          <w:sz w:val="24"/>
          <w:szCs w:val="24"/>
        </w:rPr>
        <w:t>i potrivit art. 12^3</w:t>
      </w:r>
      <w:r w:rsidRPr="000746EA">
        <w:rPr>
          <w:rStyle w:val="tpa1"/>
          <w:rFonts w:ascii="Times New Roman" w:hAnsi="Times New Roman"/>
          <w:sz w:val="24"/>
          <w:szCs w:val="24"/>
          <w:vertAlign w:val="superscript"/>
        </w:rPr>
        <w:t xml:space="preserve"> </w:t>
      </w:r>
      <w:r w:rsidRPr="000746EA">
        <w:rPr>
          <w:rStyle w:val="tpa1"/>
          <w:rFonts w:ascii="Times New Roman" w:hAnsi="Times New Roman"/>
          <w:sz w:val="24"/>
          <w:szCs w:val="24"/>
        </w:rPr>
        <w:t xml:space="preserve">alin. (1) </w:t>
      </w: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>constituie contravenţie și</w:t>
      </w:r>
      <w:r w:rsidRPr="000746EA">
        <w:rPr>
          <w:rFonts w:ascii="Times New Roman" w:eastAsiaTheme="minorHAnsi" w:hAnsi="Times New Roman"/>
          <w:bCs/>
          <w:noProof/>
          <w:color w:val="FF0000"/>
          <w:sz w:val="24"/>
          <w:szCs w:val="24"/>
        </w:rPr>
        <w:t xml:space="preserve"> </w:t>
      </w:r>
      <w:r w:rsidRPr="000746EA">
        <w:rPr>
          <w:rFonts w:ascii="Times New Roman" w:eastAsiaTheme="minorHAnsi" w:hAnsi="Times New Roman"/>
          <w:bCs/>
          <w:noProof/>
          <w:sz w:val="24"/>
          <w:szCs w:val="24"/>
        </w:rPr>
        <w:t>se sancționează cu amendă de la 90.000 lei la 100.000 lei.”</w:t>
      </w:r>
    </w:p>
    <w:p w14:paraId="75F104C0" w14:textId="77777777" w:rsidR="006501D2" w:rsidRPr="000746EA" w:rsidRDefault="006501D2">
      <w:pPr>
        <w:spacing w:before="26" w:after="0" w:line="240" w:lineRule="auto"/>
        <w:jc w:val="both"/>
        <w:rPr>
          <w:rFonts w:ascii="Times New Roman" w:eastAsiaTheme="minorHAnsi" w:hAnsi="Times New Roman"/>
          <w:bCs/>
          <w:i/>
          <w:iCs/>
          <w:noProof/>
          <w:sz w:val="24"/>
          <w:szCs w:val="24"/>
        </w:rPr>
      </w:pPr>
    </w:p>
    <w:p w14:paraId="3A5029B2" w14:textId="4CF00A50" w:rsidR="006501D2" w:rsidRPr="000746EA" w:rsidRDefault="00596CE1">
      <w:pPr>
        <w:spacing w:after="0" w:line="240" w:lineRule="auto"/>
        <w:jc w:val="both"/>
        <w:rPr>
          <w:rFonts w:ascii="Times New Roman" w:eastAsiaTheme="minorHAnsi" w:hAnsi="Times New Roman"/>
          <w:b/>
          <w:iCs/>
          <w:noProof/>
          <w:sz w:val="24"/>
          <w:szCs w:val="24"/>
        </w:rPr>
      </w:pPr>
      <w:r w:rsidRPr="000746EA">
        <w:rPr>
          <w:rFonts w:ascii="Times New Roman" w:eastAsiaTheme="minorHAnsi" w:hAnsi="Times New Roman"/>
          <w:b/>
          <w:iCs/>
          <w:noProof/>
          <w:sz w:val="24"/>
          <w:szCs w:val="24"/>
        </w:rPr>
        <w:t>2</w:t>
      </w:r>
      <w:r w:rsidR="00431090" w:rsidRPr="000746EA">
        <w:rPr>
          <w:rFonts w:ascii="Times New Roman" w:eastAsiaTheme="minorHAnsi" w:hAnsi="Times New Roman"/>
          <w:b/>
          <w:iCs/>
          <w:noProof/>
          <w:sz w:val="24"/>
          <w:szCs w:val="24"/>
        </w:rPr>
        <w:t>4</w:t>
      </w:r>
      <w:r w:rsidRPr="000746EA">
        <w:rPr>
          <w:rFonts w:ascii="Times New Roman" w:eastAsiaTheme="minorHAnsi" w:hAnsi="Times New Roman"/>
          <w:b/>
          <w:iCs/>
          <w:noProof/>
          <w:sz w:val="24"/>
          <w:szCs w:val="24"/>
        </w:rPr>
        <w:t xml:space="preserve">. La articolul 16 alineatul (1), după litera b) </w:t>
      </w:r>
      <w:r w:rsidRPr="000746EA">
        <w:rPr>
          <w:rFonts w:ascii="Times New Roman" w:eastAsiaTheme="minorHAnsi" w:hAnsi="Times New Roman"/>
          <w:b/>
          <w:bCs/>
          <w:iCs/>
          <w:noProof/>
          <w:sz w:val="24"/>
          <w:szCs w:val="24"/>
        </w:rPr>
        <w:t xml:space="preserve">se introduce o nouă literă, </w:t>
      </w:r>
      <w:r w:rsidRPr="000746EA">
        <w:rPr>
          <w:rFonts w:ascii="Times New Roman" w:eastAsiaTheme="minorHAnsi" w:hAnsi="Times New Roman"/>
          <w:b/>
          <w:bCs/>
          <w:iCs/>
          <w:noProof/>
          <w:sz w:val="24"/>
          <w:szCs w:val="24"/>
        </w:rPr>
        <w:t>litera</w:t>
      </w:r>
      <w:r w:rsidRPr="000746EA">
        <w:rPr>
          <w:rFonts w:ascii="Times New Roman" w:eastAsiaTheme="minorHAnsi" w:hAnsi="Times New Roman"/>
          <w:b/>
          <w:iCs/>
          <w:noProof/>
          <w:sz w:val="24"/>
          <w:szCs w:val="24"/>
        </w:rPr>
        <w:t xml:space="preserve"> c), cu următorul cuprins:</w:t>
      </w:r>
    </w:p>
    <w:p w14:paraId="305C5387" w14:textId="77777777" w:rsidR="006501D2" w:rsidRPr="000746EA" w:rsidRDefault="00596CE1">
      <w:pPr>
        <w:spacing w:after="0" w:line="240" w:lineRule="auto"/>
        <w:jc w:val="both"/>
        <w:rPr>
          <w:rFonts w:ascii="Times New Roman" w:eastAsiaTheme="minorHAnsi" w:hAnsi="Times New Roman"/>
          <w:noProof/>
          <w:sz w:val="24"/>
          <w:szCs w:val="24"/>
        </w:rPr>
      </w:pPr>
      <w:r w:rsidRPr="000746EA">
        <w:rPr>
          <w:rFonts w:ascii="Times New Roman" w:eastAsiaTheme="minorHAnsi" w:hAnsi="Times New Roman"/>
          <w:noProof/>
          <w:sz w:val="24"/>
          <w:szCs w:val="24"/>
        </w:rPr>
        <w:t>„c) de către personalul de specialitate din cadrul Administraţiei Fondului pentru Mediu, Autorității Naționale pentru Protecția Consumatorilor și/sau Gărzii Naţionale de Mediu, prin unităţile sale teritoriale, pentru contra</w:t>
      </w:r>
      <w:r w:rsidRPr="000746EA">
        <w:rPr>
          <w:rFonts w:ascii="Times New Roman" w:eastAsiaTheme="minorHAnsi" w:hAnsi="Times New Roman"/>
          <w:noProof/>
          <w:sz w:val="24"/>
          <w:szCs w:val="24"/>
        </w:rPr>
        <w:t>venţiile prevăzute la art. 15 alin. (6) – (11).”</w:t>
      </w:r>
    </w:p>
    <w:p w14:paraId="60FD2EEB" w14:textId="77777777" w:rsidR="006501D2" w:rsidRPr="000746EA" w:rsidRDefault="006501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6BFDD525" w14:textId="386B8C3F" w:rsidR="006501D2" w:rsidRPr="000746EA" w:rsidRDefault="00596CE1">
      <w:pPr>
        <w:spacing w:after="160" w:line="259" w:lineRule="auto"/>
        <w:jc w:val="both"/>
        <w:rPr>
          <w:rFonts w:ascii="Times New Roman" w:eastAsiaTheme="minorHAnsi" w:hAnsi="Times New Roman"/>
          <w:b/>
          <w:iCs/>
          <w:noProof/>
          <w:sz w:val="24"/>
          <w:szCs w:val="24"/>
        </w:rPr>
      </w:pPr>
      <w:r w:rsidRPr="000746EA">
        <w:rPr>
          <w:rFonts w:ascii="Times New Roman" w:eastAsiaTheme="minorHAnsi" w:hAnsi="Times New Roman"/>
          <w:b/>
          <w:iCs/>
          <w:noProof/>
          <w:sz w:val="24"/>
          <w:szCs w:val="24"/>
        </w:rPr>
        <w:lastRenderedPageBreak/>
        <w:t>2</w:t>
      </w:r>
      <w:r w:rsidR="00431090" w:rsidRPr="000746EA">
        <w:rPr>
          <w:rFonts w:ascii="Times New Roman" w:eastAsiaTheme="minorHAnsi" w:hAnsi="Times New Roman"/>
          <w:b/>
          <w:iCs/>
          <w:noProof/>
          <w:sz w:val="24"/>
          <w:szCs w:val="24"/>
        </w:rPr>
        <w:t>5</w:t>
      </w:r>
      <w:r w:rsidRPr="000746EA">
        <w:rPr>
          <w:rFonts w:ascii="Times New Roman" w:eastAsiaTheme="minorHAnsi" w:hAnsi="Times New Roman"/>
          <w:b/>
          <w:iCs/>
          <w:noProof/>
          <w:sz w:val="24"/>
          <w:szCs w:val="24"/>
        </w:rPr>
        <w:t>. Tabelul de la anexa nr. 5 se modifică și va avea următorul cuprins</w:t>
      </w:r>
      <w:r w:rsidRPr="000746EA">
        <w:rPr>
          <w:rFonts w:ascii="Times New Roman" w:eastAsiaTheme="minorHAnsi" w:hAnsi="Times New Roman"/>
          <w:b/>
          <w:iCs/>
          <w:noProof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1559"/>
      </w:tblGrid>
      <w:tr w:rsidR="006501D2" w:rsidRPr="000746EA" w14:paraId="4847266B" w14:textId="77777777"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6DC3D" w14:textId="77777777" w:rsidR="006501D2" w:rsidRPr="000746EA" w:rsidRDefault="00596CE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746EA">
              <w:rPr>
                <w:rFonts w:ascii="Times New Roman" w:eastAsia="Times New Roman" w:hAnsi="Times New Roman"/>
                <w:lang w:eastAsia="ro-RO"/>
              </w:rPr>
              <w:t xml:space="preserve">Categoria de echipamente electrice </w:t>
            </w:r>
            <w:proofErr w:type="spellStart"/>
            <w:r w:rsidRPr="000746EA">
              <w:rPr>
                <w:rFonts w:ascii="Times New Roman" w:eastAsia="Times New Roman" w:hAnsi="Times New Roman"/>
                <w:lang w:eastAsia="ro-RO"/>
              </w:rPr>
              <w:t>şi</w:t>
            </w:r>
            <w:proofErr w:type="spellEnd"/>
            <w:r w:rsidRPr="000746EA">
              <w:rPr>
                <w:rFonts w:ascii="Times New Roman" w:eastAsia="Times New Roman" w:hAnsi="Times New Roman"/>
                <w:lang w:eastAsia="ro-RO"/>
              </w:rPr>
              <w:t xml:space="preserve"> electronice (conform anexei nr. 2 la </w:t>
            </w:r>
            <w:proofErr w:type="spellStart"/>
            <w:r w:rsidRPr="000746EA">
              <w:rPr>
                <w:rFonts w:ascii="Times New Roman" w:eastAsia="Times New Roman" w:hAnsi="Times New Roman"/>
                <w:lang w:eastAsia="ro-RO"/>
              </w:rPr>
              <w:t>Ordonanţa</w:t>
            </w:r>
            <w:proofErr w:type="spellEnd"/>
            <w:r w:rsidRPr="000746EA">
              <w:rPr>
                <w:rFonts w:ascii="Times New Roman" w:eastAsia="Times New Roman" w:hAnsi="Times New Roman"/>
                <w:lang w:eastAsia="ro-RO"/>
              </w:rPr>
              <w:t xml:space="preserve"> de </w:t>
            </w:r>
            <w:proofErr w:type="spellStart"/>
            <w:r w:rsidRPr="000746EA">
              <w:rPr>
                <w:rFonts w:ascii="Times New Roman" w:eastAsia="Times New Roman" w:hAnsi="Times New Roman"/>
                <w:lang w:eastAsia="ro-RO"/>
              </w:rPr>
              <w:t>urgenţă</w:t>
            </w:r>
            <w:proofErr w:type="spellEnd"/>
            <w:r w:rsidRPr="000746EA">
              <w:rPr>
                <w:rFonts w:ascii="Times New Roman" w:eastAsia="Times New Roman" w:hAnsi="Times New Roman"/>
                <w:lang w:eastAsia="ro-RO"/>
              </w:rPr>
              <w:t xml:space="preserve"> a Guvernului nr. 5/2015 privind </w:t>
            </w:r>
            <w:proofErr w:type="spellStart"/>
            <w:r w:rsidRPr="000746EA">
              <w:rPr>
                <w:rFonts w:ascii="Times New Roman" w:eastAsia="Times New Roman" w:hAnsi="Times New Roman"/>
                <w:lang w:eastAsia="ro-RO"/>
              </w:rPr>
              <w:t>deşeurile</w:t>
            </w:r>
            <w:proofErr w:type="spellEnd"/>
            <w:r w:rsidRPr="000746EA">
              <w:rPr>
                <w:rFonts w:ascii="Times New Roman" w:eastAsia="Times New Roman" w:hAnsi="Times New Roman"/>
                <w:lang w:eastAsia="ro-RO"/>
              </w:rPr>
              <w:t xml:space="preserve"> de echipamente electrice </w:t>
            </w:r>
            <w:proofErr w:type="spellStart"/>
            <w:r w:rsidRPr="000746EA">
              <w:rPr>
                <w:rFonts w:ascii="Times New Roman" w:eastAsia="Times New Roman" w:hAnsi="Times New Roman"/>
                <w:lang w:eastAsia="ro-RO"/>
              </w:rPr>
              <w:t>şi</w:t>
            </w:r>
            <w:proofErr w:type="spellEnd"/>
            <w:r w:rsidRPr="000746EA">
              <w:rPr>
                <w:rFonts w:ascii="Times New Roman" w:eastAsia="Times New Roman" w:hAnsi="Times New Roman"/>
                <w:lang w:eastAsia="ro-RO"/>
              </w:rPr>
              <w:t xml:space="preserve"> electronice, cu modificările și completările ulterioare)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BC3EF" w14:textId="77777777" w:rsidR="006501D2" w:rsidRPr="000746EA" w:rsidRDefault="00596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proofErr w:type="spellStart"/>
            <w:r w:rsidRPr="000746EA">
              <w:rPr>
                <w:rFonts w:ascii="Times New Roman" w:eastAsia="Times New Roman" w:hAnsi="Times New Roman"/>
                <w:lang w:eastAsia="ro-RO"/>
              </w:rPr>
              <w:t>Contribuţie</w:t>
            </w:r>
            <w:proofErr w:type="spellEnd"/>
          </w:p>
          <w:p w14:paraId="54B8955E" w14:textId="77777777" w:rsidR="006501D2" w:rsidRPr="000746EA" w:rsidRDefault="00596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0746EA">
              <w:rPr>
                <w:rFonts w:ascii="Times New Roman" w:eastAsia="Times New Roman" w:hAnsi="Times New Roman"/>
                <w:lang w:eastAsia="ro-RO"/>
              </w:rPr>
              <w:t>(lei/kg)</w:t>
            </w:r>
          </w:p>
        </w:tc>
      </w:tr>
      <w:tr w:rsidR="006501D2" w:rsidRPr="000746EA" w14:paraId="509ED29B" w14:textId="77777777">
        <w:trPr>
          <w:trHeight w:val="1661"/>
        </w:trPr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9A698" w14:textId="77777777" w:rsidR="006501D2" w:rsidRPr="000746EA" w:rsidRDefault="00596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0746EA">
              <w:rPr>
                <w:rFonts w:ascii="Times New Roman" w:eastAsia="Times New Roman" w:hAnsi="Times New Roman"/>
                <w:lang w:eastAsia="ro-RO"/>
              </w:rPr>
              <w:t xml:space="preserve">categoriile 1-2, 4-6 din anexa nr. 2 la O.U.G. nr. 5/2015 privind </w:t>
            </w:r>
            <w:proofErr w:type="spellStart"/>
            <w:r w:rsidRPr="000746EA">
              <w:rPr>
                <w:rFonts w:ascii="Times New Roman" w:eastAsia="Times New Roman" w:hAnsi="Times New Roman"/>
                <w:lang w:eastAsia="ro-RO"/>
              </w:rPr>
              <w:t>deşeurile</w:t>
            </w:r>
            <w:proofErr w:type="spellEnd"/>
            <w:r w:rsidRPr="000746EA">
              <w:rPr>
                <w:rFonts w:ascii="Times New Roman" w:eastAsia="Times New Roman" w:hAnsi="Times New Roman"/>
                <w:lang w:eastAsia="ro-RO"/>
              </w:rPr>
              <w:t xml:space="preserve"> de echipamente electrice </w:t>
            </w:r>
            <w:proofErr w:type="spellStart"/>
            <w:r w:rsidRPr="000746EA">
              <w:rPr>
                <w:rFonts w:ascii="Times New Roman" w:eastAsia="Times New Roman" w:hAnsi="Times New Roman"/>
                <w:lang w:eastAsia="ro-RO"/>
              </w:rPr>
              <w:t>şi</w:t>
            </w:r>
            <w:proofErr w:type="spellEnd"/>
            <w:r w:rsidRPr="000746EA">
              <w:rPr>
                <w:rFonts w:ascii="Times New Roman" w:eastAsia="Times New Roman" w:hAnsi="Times New Roman"/>
                <w:lang w:eastAsia="ro-RO"/>
              </w:rPr>
              <w:t xml:space="preserve"> electronice, cu modificările și </w:t>
            </w:r>
            <w:r w:rsidRPr="000746EA">
              <w:rPr>
                <w:rFonts w:ascii="Times New Roman" w:eastAsia="Times New Roman" w:hAnsi="Times New Roman"/>
                <w:lang w:eastAsia="ro-RO"/>
              </w:rPr>
              <w:t>completările ulterioare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8F93F" w14:textId="77777777" w:rsidR="006501D2" w:rsidRPr="000746EA" w:rsidRDefault="00596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0746EA">
              <w:rPr>
                <w:rFonts w:ascii="Times New Roman" w:eastAsia="Times New Roman" w:hAnsi="Times New Roman"/>
                <w:lang w:eastAsia="ro-RO"/>
              </w:rPr>
              <w:t>4</w:t>
            </w:r>
          </w:p>
        </w:tc>
      </w:tr>
      <w:tr w:rsidR="006501D2" w:rsidRPr="000746EA" w14:paraId="6C7D3D67" w14:textId="77777777"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273A6" w14:textId="587435E8" w:rsidR="006501D2" w:rsidRPr="000746EA" w:rsidRDefault="00596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0746EA">
              <w:rPr>
                <w:rFonts w:ascii="Times New Roman" w:eastAsia="Times New Roman" w:hAnsi="Times New Roman"/>
                <w:lang w:eastAsia="ro-RO"/>
              </w:rPr>
              <w:t xml:space="preserve">categoria 3 din anexa nr. 2 la O.U.G. nr. 5/2015 privind </w:t>
            </w:r>
            <w:proofErr w:type="spellStart"/>
            <w:r w:rsidRPr="000746EA">
              <w:rPr>
                <w:rFonts w:ascii="Times New Roman" w:eastAsia="Times New Roman" w:hAnsi="Times New Roman"/>
                <w:lang w:eastAsia="ro-RO"/>
              </w:rPr>
              <w:t>deşeurile</w:t>
            </w:r>
            <w:proofErr w:type="spellEnd"/>
            <w:r w:rsidRPr="000746EA">
              <w:rPr>
                <w:rFonts w:ascii="Times New Roman" w:eastAsia="Times New Roman" w:hAnsi="Times New Roman"/>
                <w:lang w:eastAsia="ro-RO"/>
              </w:rPr>
              <w:t xml:space="preserve"> de echipamente electrice </w:t>
            </w:r>
            <w:proofErr w:type="spellStart"/>
            <w:r w:rsidRPr="000746EA">
              <w:rPr>
                <w:rFonts w:ascii="Times New Roman" w:eastAsia="Times New Roman" w:hAnsi="Times New Roman"/>
                <w:lang w:eastAsia="ro-RO"/>
              </w:rPr>
              <w:t>şi</w:t>
            </w:r>
            <w:proofErr w:type="spellEnd"/>
            <w:r w:rsidRPr="000746EA">
              <w:rPr>
                <w:rFonts w:ascii="Times New Roman" w:eastAsia="Times New Roman" w:hAnsi="Times New Roman"/>
                <w:lang w:eastAsia="ro-RO"/>
              </w:rPr>
              <w:t xml:space="preserve"> electronice, cu modificările și completările ulterioare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BA45D" w14:textId="77777777" w:rsidR="006501D2" w:rsidRPr="000746EA" w:rsidRDefault="00596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0746EA">
              <w:rPr>
                <w:rFonts w:ascii="Times New Roman" w:eastAsia="Times New Roman" w:hAnsi="Times New Roman"/>
                <w:lang w:eastAsia="ro-RO"/>
              </w:rPr>
              <w:t>8</w:t>
            </w:r>
          </w:p>
        </w:tc>
      </w:tr>
    </w:tbl>
    <w:p w14:paraId="1BA98C69" w14:textId="77777777" w:rsidR="006501D2" w:rsidRPr="000746EA" w:rsidRDefault="006501D2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527C5283" w14:textId="791EC9E3" w:rsidR="006501D2" w:rsidRPr="000746EA" w:rsidRDefault="00596CE1">
      <w:pPr>
        <w:spacing w:line="240" w:lineRule="auto"/>
        <w:ind w:right="337"/>
        <w:jc w:val="both"/>
        <w:rPr>
          <w:rFonts w:ascii="Times New Roman" w:hAnsi="Times New Roman"/>
          <w:sz w:val="24"/>
          <w:szCs w:val="24"/>
        </w:rPr>
      </w:pPr>
      <w:r w:rsidRPr="000746EA">
        <w:rPr>
          <w:rFonts w:ascii="Times New Roman" w:hAnsi="Times New Roman"/>
          <w:b/>
          <w:sz w:val="24"/>
          <w:szCs w:val="24"/>
        </w:rPr>
        <w:t>Articolul</w:t>
      </w:r>
      <w:r w:rsidRPr="000746EA">
        <w:rPr>
          <w:rFonts w:ascii="Times New Roman" w:hAnsi="Times New Roman"/>
          <w:sz w:val="24"/>
          <w:szCs w:val="24"/>
        </w:rPr>
        <w:t xml:space="preserve"> </w:t>
      </w:r>
      <w:r w:rsidRPr="000746EA">
        <w:rPr>
          <w:rFonts w:ascii="Times New Roman" w:hAnsi="Times New Roman"/>
          <w:b/>
          <w:sz w:val="24"/>
          <w:szCs w:val="24"/>
        </w:rPr>
        <w:t xml:space="preserve">II </w:t>
      </w:r>
      <w:r w:rsidRPr="000746EA">
        <w:rPr>
          <w:rFonts w:ascii="Times New Roman" w:hAnsi="Times New Roman"/>
          <w:sz w:val="24"/>
          <w:szCs w:val="24"/>
        </w:rPr>
        <w:t xml:space="preserve">Prevederile art. 9 alin. (1) lit. d, q) și v) </w:t>
      </w:r>
      <w:r w:rsidRPr="000746EA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Pr="000746EA">
        <w:rPr>
          <w:rFonts w:ascii="Times New Roman" w:hAnsi="Times New Roman"/>
          <w:sz w:val="24"/>
          <w:szCs w:val="24"/>
        </w:rPr>
        <w:t>Ordonanţa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</w:t>
      </w:r>
      <w:r w:rsidRPr="000746EA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0746EA">
        <w:rPr>
          <w:rFonts w:ascii="Times New Roman" w:hAnsi="Times New Roman"/>
          <w:sz w:val="24"/>
          <w:szCs w:val="24"/>
        </w:rPr>
        <w:t>urgenţă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a Guvernului nr. 196/2005, aprobată cu modificări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completări prin Legea nr. 105/2006, cu modificările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completările ulterioare, astfel cum sunt prevăzute la pct. 7 al art. I din prezenta ordonanță de urgență, se aplică începând cu 1 ianuari</w:t>
      </w:r>
      <w:r w:rsidRPr="000746EA">
        <w:rPr>
          <w:rFonts w:ascii="Times New Roman" w:hAnsi="Times New Roman"/>
          <w:sz w:val="24"/>
          <w:szCs w:val="24"/>
        </w:rPr>
        <w:t>e 2023.</w:t>
      </w:r>
    </w:p>
    <w:p w14:paraId="0676588A" w14:textId="4D1AF3C6" w:rsidR="006501D2" w:rsidRPr="000746EA" w:rsidRDefault="00596CE1">
      <w:pPr>
        <w:spacing w:line="240" w:lineRule="auto"/>
        <w:ind w:right="337"/>
        <w:jc w:val="both"/>
        <w:rPr>
          <w:rFonts w:ascii="Times New Roman" w:hAnsi="Times New Roman"/>
          <w:sz w:val="24"/>
          <w:szCs w:val="24"/>
        </w:rPr>
      </w:pPr>
      <w:r w:rsidRPr="000746EA">
        <w:rPr>
          <w:rFonts w:ascii="Times New Roman" w:hAnsi="Times New Roman"/>
          <w:b/>
          <w:sz w:val="24"/>
          <w:szCs w:val="24"/>
        </w:rPr>
        <w:t>Articolul</w:t>
      </w:r>
      <w:r w:rsidRPr="000746EA">
        <w:rPr>
          <w:rFonts w:ascii="Times New Roman" w:hAnsi="Times New Roman"/>
          <w:sz w:val="24"/>
          <w:szCs w:val="24"/>
        </w:rPr>
        <w:t xml:space="preserve"> </w:t>
      </w:r>
      <w:r w:rsidRPr="000746EA">
        <w:rPr>
          <w:rFonts w:ascii="Times New Roman" w:hAnsi="Times New Roman"/>
          <w:b/>
          <w:sz w:val="24"/>
          <w:szCs w:val="24"/>
        </w:rPr>
        <w:t>III</w:t>
      </w:r>
      <w:r w:rsidRPr="000746EA">
        <w:rPr>
          <w:rFonts w:ascii="Times New Roman" w:hAnsi="Times New Roman"/>
          <w:sz w:val="24"/>
          <w:szCs w:val="24"/>
        </w:rPr>
        <w:t xml:space="preserve"> </w:t>
      </w:r>
      <w:r w:rsidRPr="000746EA">
        <w:rPr>
          <w:rFonts w:ascii="Times New Roman" w:hAnsi="Times New Roman"/>
          <w:sz w:val="24"/>
          <w:szCs w:val="24"/>
        </w:rPr>
        <w:t xml:space="preserve">Prevederile art. 10 alin. (2) </w:t>
      </w:r>
      <w:r w:rsidRPr="000746EA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Pr="000746EA">
        <w:rPr>
          <w:rFonts w:ascii="Times New Roman" w:hAnsi="Times New Roman"/>
          <w:sz w:val="24"/>
          <w:szCs w:val="24"/>
        </w:rPr>
        <w:t>Ordonanţa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746EA">
        <w:rPr>
          <w:rFonts w:ascii="Times New Roman" w:hAnsi="Times New Roman"/>
          <w:sz w:val="24"/>
          <w:szCs w:val="24"/>
        </w:rPr>
        <w:t>urgenţă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a Guvernului nr. 196/2005, aprobată cu modificări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completări prin Legea nr. 105/2006, cu modificările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completările ulterioare, astfel cum sunt prevăzute la pct. </w:t>
      </w:r>
      <w:r w:rsidR="0070057E" w:rsidRPr="000746EA">
        <w:rPr>
          <w:rFonts w:ascii="Times New Roman" w:hAnsi="Times New Roman"/>
          <w:sz w:val="24"/>
          <w:szCs w:val="24"/>
        </w:rPr>
        <w:t>9</w:t>
      </w:r>
      <w:r w:rsidRPr="000746EA">
        <w:rPr>
          <w:rFonts w:ascii="Times New Roman" w:hAnsi="Times New Roman"/>
          <w:sz w:val="24"/>
          <w:szCs w:val="24"/>
        </w:rPr>
        <w:t xml:space="preserve"> al art. I </w:t>
      </w:r>
      <w:r w:rsidRPr="000746EA">
        <w:rPr>
          <w:rFonts w:ascii="Times New Roman" w:hAnsi="Times New Roman"/>
          <w:sz w:val="24"/>
          <w:szCs w:val="24"/>
        </w:rPr>
        <w:t>din prezenta ordonanță de urgență, se aplică începând cu 1 ianuarie 2023.</w:t>
      </w:r>
    </w:p>
    <w:p w14:paraId="052F5DA9" w14:textId="3493AC03" w:rsidR="006501D2" w:rsidRPr="000746EA" w:rsidRDefault="00596CE1">
      <w:pPr>
        <w:spacing w:line="240" w:lineRule="auto"/>
        <w:ind w:right="337"/>
        <w:jc w:val="both"/>
        <w:rPr>
          <w:rFonts w:ascii="Times New Roman" w:hAnsi="Times New Roman"/>
          <w:sz w:val="24"/>
          <w:szCs w:val="24"/>
        </w:rPr>
      </w:pPr>
      <w:r w:rsidRPr="000746EA">
        <w:rPr>
          <w:rFonts w:ascii="Times New Roman" w:hAnsi="Times New Roman"/>
          <w:b/>
          <w:sz w:val="24"/>
          <w:szCs w:val="24"/>
        </w:rPr>
        <w:t>Articolul</w:t>
      </w:r>
      <w:r w:rsidRPr="000746EA">
        <w:rPr>
          <w:rFonts w:ascii="Times New Roman" w:hAnsi="Times New Roman"/>
          <w:sz w:val="24"/>
          <w:szCs w:val="24"/>
        </w:rPr>
        <w:t xml:space="preserve"> </w:t>
      </w:r>
      <w:r w:rsidRPr="000746EA">
        <w:rPr>
          <w:rFonts w:ascii="Times New Roman" w:hAnsi="Times New Roman"/>
          <w:b/>
          <w:sz w:val="24"/>
          <w:szCs w:val="24"/>
        </w:rPr>
        <w:t>IV</w:t>
      </w:r>
      <w:r w:rsidRPr="000746EA">
        <w:rPr>
          <w:rFonts w:ascii="Times New Roman" w:hAnsi="Times New Roman"/>
          <w:sz w:val="24"/>
          <w:szCs w:val="24"/>
        </w:rPr>
        <w:t xml:space="preserve"> Prevederile art. 9 alin. (1) lit. v^1) și ale art. 10 alin. </w:t>
      </w:r>
      <w:r w:rsidRPr="000746EA">
        <w:rPr>
          <w:rFonts w:ascii="Times New Roman" w:eastAsia="Times New Roman" w:hAnsi="Times New Roman"/>
          <w:bCs/>
          <w:sz w:val="24"/>
          <w:szCs w:val="24"/>
          <w:lang w:eastAsia="ro-RO"/>
        </w:rPr>
        <w:t>(2^2) și alin. (3^5)</w:t>
      </w:r>
      <w:r w:rsidR="00B47C7C" w:rsidRPr="000746EA">
        <w:t xml:space="preserve"> </w:t>
      </w:r>
      <w:r w:rsidR="00B47C7C" w:rsidRPr="000746EA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din </w:t>
      </w:r>
      <w:proofErr w:type="spellStart"/>
      <w:r w:rsidR="00B47C7C" w:rsidRPr="000746EA">
        <w:rPr>
          <w:rFonts w:ascii="Times New Roman" w:eastAsia="Times New Roman" w:hAnsi="Times New Roman"/>
          <w:bCs/>
          <w:sz w:val="24"/>
          <w:szCs w:val="24"/>
          <w:lang w:eastAsia="ro-RO"/>
        </w:rPr>
        <w:t>Ordonanţa</w:t>
      </w:r>
      <w:proofErr w:type="spellEnd"/>
      <w:r w:rsidR="00B47C7C" w:rsidRPr="000746EA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de </w:t>
      </w:r>
      <w:proofErr w:type="spellStart"/>
      <w:r w:rsidR="00B47C7C" w:rsidRPr="000746EA">
        <w:rPr>
          <w:rFonts w:ascii="Times New Roman" w:eastAsia="Times New Roman" w:hAnsi="Times New Roman"/>
          <w:bCs/>
          <w:sz w:val="24"/>
          <w:szCs w:val="24"/>
          <w:lang w:eastAsia="ro-RO"/>
        </w:rPr>
        <w:t>urgenţă</w:t>
      </w:r>
      <w:proofErr w:type="spellEnd"/>
      <w:r w:rsidR="00B47C7C" w:rsidRPr="000746EA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a Guvernului nr. 196/2005, aprobată cu modificări </w:t>
      </w:r>
      <w:proofErr w:type="spellStart"/>
      <w:r w:rsidR="00B47C7C" w:rsidRPr="000746EA">
        <w:rPr>
          <w:rFonts w:ascii="Times New Roman" w:eastAsia="Times New Roman" w:hAnsi="Times New Roman"/>
          <w:bCs/>
          <w:sz w:val="24"/>
          <w:szCs w:val="24"/>
          <w:lang w:eastAsia="ro-RO"/>
        </w:rPr>
        <w:t>şi</w:t>
      </w:r>
      <w:proofErr w:type="spellEnd"/>
      <w:r w:rsidR="00B47C7C" w:rsidRPr="000746EA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completări prin Legea nr. 105/2006, cu modificările </w:t>
      </w:r>
      <w:proofErr w:type="spellStart"/>
      <w:r w:rsidR="00B47C7C" w:rsidRPr="000746EA">
        <w:rPr>
          <w:rFonts w:ascii="Times New Roman" w:eastAsia="Times New Roman" w:hAnsi="Times New Roman"/>
          <w:bCs/>
          <w:sz w:val="24"/>
          <w:szCs w:val="24"/>
          <w:lang w:eastAsia="ro-RO"/>
        </w:rPr>
        <w:t>şi</w:t>
      </w:r>
      <w:proofErr w:type="spellEnd"/>
      <w:r w:rsidR="00B47C7C" w:rsidRPr="000746EA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completările ulterioare,</w:t>
      </w:r>
      <w:r w:rsidRPr="000746E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0746EA">
        <w:rPr>
          <w:rFonts w:ascii="Times New Roman" w:hAnsi="Times New Roman"/>
          <w:sz w:val="24"/>
          <w:szCs w:val="24"/>
        </w:rPr>
        <w:t xml:space="preserve">se abrogă </w:t>
      </w:r>
      <w:r w:rsidR="00B47C7C" w:rsidRPr="000746EA">
        <w:rPr>
          <w:rFonts w:ascii="Times New Roman" w:hAnsi="Times New Roman"/>
          <w:sz w:val="24"/>
          <w:szCs w:val="24"/>
        </w:rPr>
        <w:t>la data de</w:t>
      </w:r>
      <w:r w:rsidRPr="000746EA">
        <w:rPr>
          <w:rFonts w:ascii="Times New Roman" w:hAnsi="Times New Roman"/>
          <w:sz w:val="24"/>
          <w:szCs w:val="24"/>
        </w:rPr>
        <w:t xml:space="preserve"> 1 ianuarie 2023. </w:t>
      </w:r>
    </w:p>
    <w:p w14:paraId="0528C05D" w14:textId="31E8CB1E" w:rsidR="006501D2" w:rsidRPr="000746EA" w:rsidRDefault="00596CE1">
      <w:pPr>
        <w:spacing w:line="240" w:lineRule="auto"/>
        <w:ind w:right="337"/>
        <w:jc w:val="both"/>
        <w:rPr>
          <w:rFonts w:ascii="Times New Roman" w:hAnsi="Times New Roman"/>
          <w:sz w:val="24"/>
          <w:szCs w:val="24"/>
        </w:rPr>
      </w:pPr>
      <w:r w:rsidRPr="000746EA">
        <w:rPr>
          <w:rFonts w:ascii="Times New Roman" w:hAnsi="Times New Roman"/>
          <w:b/>
          <w:sz w:val="24"/>
          <w:szCs w:val="24"/>
        </w:rPr>
        <w:t xml:space="preserve">Articolul V </w:t>
      </w:r>
      <w:proofErr w:type="spellStart"/>
      <w:r w:rsidRPr="000746EA">
        <w:rPr>
          <w:rFonts w:ascii="Times New Roman" w:hAnsi="Times New Roman"/>
          <w:sz w:val="24"/>
          <w:szCs w:val="24"/>
        </w:rPr>
        <w:t>Sancţiunile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prevăzute la art. 15 alin. (8)-(10) din </w:t>
      </w:r>
      <w:proofErr w:type="spellStart"/>
      <w:r w:rsidRPr="000746EA">
        <w:rPr>
          <w:rFonts w:ascii="Times New Roman" w:hAnsi="Times New Roman"/>
          <w:sz w:val="24"/>
          <w:szCs w:val="24"/>
        </w:rPr>
        <w:t>Ordonanţa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746EA">
        <w:rPr>
          <w:rFonts w:ascii="Times New Roman" w:hAnsi="Times New Roman"/>
          <w:sz w:val="24"/>
          <w:szCs w:val="24"/>
        </w:rPr>
        <w:t>urgenţă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a Guvernului nr. 196/2005, aprobată cu modificări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completăr</w:t>
      </w:r>
      <w:r w:rsidRPr="000746EA">
        <w:rPr>
          <w:rFonts w:ascii="Times New Roman" w:hAnsi="Times New Roman"/>
          <w:sz w:val="24"/>
          <w:szCs w:val="24"/>
        </w:rPr>
        <w:t xml:space="preserve">i prin Legea nr. 105/2006, cu modificările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completările ulterioare, astfel cum sunt prevăzute la pct. 2</w:t>
      </w:r>
      <w:r w:rsidR="00431090" w:rsidRPr="000746EA">
        <w:rPr>
          <w:rFonts w:ascii="Times New Roman" w:hAnsi="Times New Roman"/>
          <w:sz w:val="24"/>
          <w:szCs w:val="24"/>
        </w:rPr>
        <w:t>3</w:t>
      </w:r>
      <w:r w:rsidRPr="000746EA">
        <w:rPr>
          <w:rFonts w:ascii="Times New Roman" w:hAnsi="Times New Roman"/>
          <w:sz w:val="24"/>
          <w:szCs w:val="24"/>
        </w:rPr>
        <w:t xml:space="preserve"> al art. I din prezenta ordonanță de urgență, se aplică începând cu 1 ianuarie 2023.</w:t>
      </w:r>
    </w:p>
    <w:p w14:paraId="4AC50C7F" w14:textId="67A32292" w:rsidR="009D44EB" w:rsidRPr="000746EA" w:rsidRDefault="009D44EB">
      <w:pPr>
        <w:spacing w:line="240" w:lineRule="auto"/>
        <w:ind w:right="337"/>
        <w:jc w:val="both"/>
        <w:rPr>
          <w:rFonts w:ascii="Times New Roman" w:hAnsi="Times New Roman"/>
          <w:b/>
          <w:bCs/>
          <w:sz w:val="24"/>
          <w:szCs w:val="24"/>
        </w:rPr>
      </w:pPr>
      <w:r w:rsidRPr="000746EA">
        <w:rPr>
          <w:rFonts w:ascii="Times New Roman" w:hAnsi="Times New Roman"/>
          <w:b/>
          <w:bCs/>
          <w:sz w:val="24"/>
          <w:szCs w:val="24"/>
        </w:rPr>
        <w:t xml:space="preserve">Articolul VI </w:t>
      </w:r>
      <w:r w:rsidRPr="000746EA">
        <w:rPr>
          <w:rFonts w:ascii="Times New Roman" w:hAnsi="Times New Roman"/>
          <w:sz w:val="24"/>
          <w:szCs w:val="24"/>
        </w:rPr>
        <w:t xml:space="preserve">Tabelul de la anexa nr. 5 la </w:t>
      </w:r>
      <w:proofErr w:type="spellStart"/>
      <w:r w:rsidRPr="000746EA">
        <w:rPr>
          <w:rFonts w:ascii="Times New Roman" w:hAnsi="Times New Roman"/>
          <w:sz w:val="24"/>
          <w:szCs w:val="24"/>
        </w:rPr>
        <w:t>Ordonanţa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746EA">
        <w:rPr>
          <w:rFonts w:ascii="Times New Roman" w:hAnsi="Times New Roman"/>
          <w:sz w:val="24"/>
          <w:szCs w:val="24"/>
        </w:rPr>
        <w:t>urgenţă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a Guvernului nr. 196/2005, aprobată cu modificări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completări prin Legea nr. 105/2006, cu modificările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completările ulterioare, intră în vigoare la data de 1 ianuarie 2023.</w:t>
      </w:r>
    </w:p>
    <w:p w14:paraId="07686A75" w14:textId="047D52BC" w:rsidR="006501D2" w:rsidRPr="000746EA" w:rsidRDefault="00596CE1">
      <w:pPr>
        <w:spacing w:after="0" w:line="240" w:lineRule="auto"/>
        <w:ind w:right="337"/>
        <w:jc w:val="both"/>
        <w:rPr>
          <w:rFonts w:ascii="Times New Roman" w:hAnsi="Times New Roman"/>
          <w:b/>
          <w:sz w:val="24"/>
          <w:szCs w:val="24"/>
        </w:rPr>
      </w:pPr>
      <w:r w:rsidRPr="000746EA">
        <w:rPr>
          <w:rFonts w:ascii="Times New Roman" w:hAnsi="Times New Roman"/>
          <w:b/>
          <w:sz w:val="24"/>
          <w:szCs w:val="24"/>
        </w:rPr>
        <w:t>Articolul VI</w:t>
      </w:r>
      <w:r w:rsidR="009D44EB" w:rsidRPr="000746EA">
        <w:rPr>
          <w:rFonts w:ascii="Times New Roman" w:hAnsi="Times New Roman"/>
          <w:b/>
          <w:sz w:val="24"/>
          <w:szCs w:val="24"/>
        </w:rPr>
        <w:t>I</w:t>
      </w:r>
      <w:r w:rsidRPr="000746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EA">
        <w:rPr>
          <w:rFonts w:ascii="Times New Roman" w:hAnsi="Times New Roman"/>
          <w:sz w:val="24"/>
          <w:szCs w:val="24"/>
        </w:rPr>
        <w:t>Ordonanţa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746EA">
        <w:rPr>
          <w:rFonts w:ascii="Times New Roman" w:hAnsi="Times New Roman"/>
          <w:sz w:val="24"/>
          <w:szCs w:val="24"/>
        </w:rPr>
        <w:t>urgenţă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a Guvernului nr. 196/2005 privind Fondul </w:t>
      </w:r>
      <w:r w:rsidRPr="000746EA">
        <w:rPr>
          <w:rFonts w:ascii="Times New Roman" w:hAnsi="Times New Roman"/>
          <w:sz w:val="24"/>
          <w:szCs w:val="24"/>
        </w:rPr>
        <w:t xml:space="preserve">pentru mediu, publicată în Monitorul Oficial al României, Partea I, nr. 1.193 din 30 decembrie 2005, aprobată cu modificări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completări prin Legea nr. 105/2006, cu modificările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completările ulterioare, precum </w:t>
      </w:r>
      <w:proofErr w:type="spellStart"/>
      <w:r w:rsidRPr="000746EA">
        <w:rPr>
          <w:rFonts w:ascii="Times New Roman" w:hAnsi="Times New Roman"/>
          <w:sz w:val="24"/>
          <w:szCs w:val="24"/>
        </w:rPr>
        <w:t>şi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cu cele aduse prin prezenta </w:t>
      </w:r>
      <w:proofErr w:type="spellStart"/>
      <w:r w:rsidRPr="000746EA">
        <w:rPr>
          <w:rFonts w:ascii="Times New Roman" w:hAnsi="Times New Roman"/>
          <w:sz w:val="24"/>
          <w:szCs w:val="24"/>
        </w:rPr>
        <w:t>ordonanţă</w:t>
      </w:r>
      <w:proofErr w:type="spellEnd"/>
      <w:r w:rsidRPr="000746EA">
        <w:rPr>
          <w:rFonts w:ascii="Times New Roman" w:hAnsi="Times New Roman"/>
          <w:sz w:val="24"/>
          <w:szCs w:val="24"/>
        </w:rPr>
        <w:t xml:space="preserve"> d</w:t>
      </w:r>
      <w:r w:rsidRPr="000746EA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0746EA">
        <w:rPr>
          <w:rFonts w:ascii="Times New Roman" w:hAnsi="Times New Roman"/>
          <w:sz w:val="24"/>
          <w:szCs w:val="24"/>
        </w:rPr>
        <w:t>urgenţă</w:t>
      </w:r>
      <w:proofErr w:type="spellEnd"/>
      <w:r w:rsidRPr="000746EA">
        <w:rPr>
          <w:rFonts w:ascii="Times New Roman" w:hAnsi="Times New Roman"/>
          <w:sz w:val="24"/>
          <w:szCs w:val="24"/>
        </w:rPr>
        <w:t>, se va republica în Monitorul Oficial al României, Partea I, după aprobarea acesteia prin lege, dându-se textelor o nouă numerotare.</w:t>
      </w:r>
    </w:p>
    <w:p w14:paraId="4BC8C699" w14:textId="77777777" w:rsidR="006501D2" w:rsidRPr="000746EA" w:rsidRDefault="006501D2">
      <w:pPr>
        <w:spacing w:after="0" w:line="240" w:lineRule="auto"/>
        <w:ind w:right="337"/>
        <w:jc w:val="both"/>
        <w:rPr>
          <w:rFonts w:ascii="Times New Roman" w:hAnsi="Times New Roman"/>
          <w:sz w:val="24"/>
          <w:szCs w:val="24"/>
        </w:rPr>
      </w:pPr>
    </w:p>
    <w:p w14:paraId="7077A8FB" w14:textId="77777777" w:rsidR="006501D2" w:rsidRPr="000746EA" w:rsidRDefault="006501D2">
      <w:pPr>
        <w:spacing w:after="0" w:line="240" w:lineRule="auto"/>
        <w:ind w:right="337"/>
        <w:jc w:val="both"/>
        <w:rPr>
          <w:rFonts w:ascii="Times New Roman" w:hAnsi="Times New Roman"/>
          <w:bCs/>
          <w:sz w:val="24"/>
          <w:szCs w:val="24"/>
        </w:rPr>
      </w:pPr>
    </w:p>
    <w:p w14:paraId="399A9760" w14:textId="77777777" w:rsidR="006501D2" w:rsidRPr="000746EA" w:rsidRDefault="00596CE1">
      <w:pPr>
        <w:spacing w:after="0" w:line="240" w:lineRule="auto"/>
        <w:ind w:right="337"/>
        <w:jc w:val="center"/>
        <w:rPr>
          <w:rFonts w:ascii="Times New Roman" w:hAnsi="Times New Roman"/>
          <w:sz w:val="24"/>
          <w:szCs w:val="24"/>
        </w:rPr>
      </w:pPr>
      <w:r w:rsidRPr="000746EA">
        <w:rPr>
          <w:rFonts w:ascii="Times New Roman" w:hAnsi="Times New Roman"/>
          <w:b/>
          <w:sz w:val="24"/>
          <w:szCs w:val="24"/>
        </w:rPr>
        <w:t>PRIM-MINISTRU,</w:t>
      </w:r>
      <w:r w:rsidRPr="000746EA">
        <w:rPr>
          <w:rFonts w:ascii="Times New Roman" w:hAnsi="Times New Roman"/>
          <w:sz w:val="24"/>
          <w:szCs w:val="24"/>
        </w:rPr>
        <w:t xml:space="preserve"> </w:t>
      </w:r>
    </w:p>
    <w:p w14:paraId="7AAE10D1" w14:textId="77777777" w:rsidR="006501D2" w:rsidRPr="000746EA" w:rsidRDefault="00596CE1">
      <w:pPr>
        <w:spacing w:after="0" w:line="240" w:lineRule="auto"/>
        <w:ind w:right="337"/>
        <w:jc w:val="center"/>
        <w:rPr>
          <w:rFonts w:ascii="Times New Roman" w:hAnsi="Times New Roman"/>
          <w:b/>
          <w:sz w:val="24"/>
          <w:szCs w:val="24"/>
        </w:rPr>
      </w:pPr>
      <w:r w:rsidRPr="000746EA">
        <w:rPr>
          <w:rFonts w:ascii="Times New Roman" w:hAnsi="Times New Roman"/>
          <w:b/>
          <w:sz w:val="24"/>
          <w:szCs w:val="24"/>
        </w:rPr>
        <w:t>Nicolae-Ionel CIUCĂ</w:t>
      </w:r>
    </w:p>
    <w:sectPr w:rsidR="006501D2" w:rsidRPr="000746EA" w:rsidSect="004E3AD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426" w:right="707" w:bottom="851" w:left="1134" w:header="43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7231F" w14:textId="77777777" w:rsidR="00596CE1" w:rsidRDefault="00596CE1">
      <w:pPr>
        <w:spacing w:after="0" w:line="240" w:lineRule="auto"/>
      </w:pPr>
      <w:r>
        <w:separator/>
      </w:r>
    </w:p>
  </w:endnote>
  <w:endnote w:type="continuationSeparator" w:id="0">
    <w:p w14:paraId="55A66CEA" w14:textId="77777777" w:rsidR="00596CE1" w:rsidRDefault="0059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A8731" w14:textId="77777777" w:rsidR="006501D2" w:rsidRDefault="00596CE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46EA">
      <w:rPr>
        <w:noProof/>
      </w:rPr>
      <w:t>9</w:t>
    </w:r>
    <w:r>
      <w:fldChar w:fldCharType="end"/>
    </w:r>
  </w:p>
  <w:p w14:paraId="30D13FB7" w14:textId="77777777" w:rsidR="006501D2" w:rsidRDefault="006501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55655" w14:textId="77777777" w:rsidR="00596CE1" w:rsidRDefault="00596CE1">
      <w:pPr>
        <w:spacing w:after="0" w:line="240" w:lineRule="auto"/>
      </w:pPr>
      <w:r>
        <w:separator/>
      </w:r>
    </w:p>
  </w:footnote>
  <w:footnote w:type="continuationSeparator" w:id="0">
    <w:p w14:paraId="438A1162" w14:textId="77777777" w:rsidR="00596CE1" w:rsidRDefault="0059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D24F5" w14:textId="77777777" w:rsidR="006501D2" w:rsidRDefault="006501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84ACF" w14:textId="77777777" w:rsidR="006501D2" w:rsidRDefault="006501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53328" w14:textId="77777777" w:rsidR="006501D2" w:rsidRDefault="006501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BEB"/>
    <w:multiLevelType w:val="hybridMultilevel"/>
    <w:tmpl w:val="DF64B79E"/>
    <w:lvl w:ilvl="0" w:tplc="95AEB7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AF71A3"/>
    <w:multiLevelType w:val="hybridMultilevel"/>
    <w:tmpl w:val="FCE8FC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C1DA0"/>
    <w:multiLevelType w:val="hybridMultilevel"/>
    <w:tmpl w:val="B33A4F02"/>
    <w:lvl w:ilvl="0" w:tplc="895E6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7219A"/>
    <w:multiLevelType w:val="hybridMultilevel"/>
    <w:tmpl w:val="3CD63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75EBF"/>
    <w:multiLevelType w:val="hybridMultilevel"/>
    <w:tmpl w:val="8924A00A"/>
    <w:lvl w:ilvl="0" w:tplc="68BA15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146EB1"/>
    <w:multiLevelType w:val="hybridMultilevel"/>
    <w:tmpl w:val="0AE8CFA8"/>
    <w:lvl w:ilvl="0" w:tplc="EDF2DA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51295"/>
    <w:multiLevelType w:val="hybridMultilevel"/>
    <w:tmpl w:val="63F6386C"/>
    <w:lvl w:ilvl="0" w:tplc="F000C1C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77725"/>
    <w:multiLevelType w:val="hybridMultilevel"/>
    <w:tmpl w:val="B33A4F02"/>
    <w:lvl w:ilvl="0" w:tplc="895E6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6011A"/>
    <w:multiLevelType w:val="hybridMultilevel"/>
    <w:tmpl w:val="3CD63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46B61"/>
    <w:multiLevelType w:val="hybridMultilevel"/>
    <w:tmpl w:val="70142A0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C28F9"/>
    <w:multiLevelType w:val="hybridMultilevel"/>
    <w:tmpl w:val="231438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033DE"/>
    <w:multiLevelType w:val="hybridMultilevel"/>
    <w:tmpl w:val="EC5E82CC"/>
    <w:lvl w:ilvl="0" w:tplc="57B0859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E296A"/>
    <w:multiLevelType w:val="hybridMultilevel"/>
    <w:tmpl w:val="E4066D74"/>
    <w:lvl w:ilvl="0" w:tplc="4A9A45BE">
      <w:start w:val="1"/>
      <w:numFmt w:val="decimal"/>
      <w:lvlText w:val="(%1)"/>
      <w:lvlJc w:val="left"/>
      <w:pPr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632" w:hanging="360"/>
      </w:pPr>
    </w:lvl>
    <w:lvl w:ilvl="2" w:tplc="0418001B" w:tentative="1">
      <w:start w:val="1"/>
      <w:numFmt w:val="lowerRoman"/>
      <w:lvlText w:val="%3."/>
      <w:lvlJc w:val="right"/>
      <w:pPr>
        <w:ind w:left="4352" w:hanging="180"/>
      </w:pPr>
    </w:lvl>
    <w:lvl w:ilvl="3" w:tplc="0418000F" w:tentative="1">
      <w:start w:val="1"/>
      <w:numFmt w:val="decimal"/>
      <w:lvlText w:val="%4."/>
      <w:lvlJc w:val="left"/>
      <w:pPr>
        <w:ind w:left="5072" w:hanging="360"/>
      </w:pPr>
    </w:lvl>
    <w:lvl w:ilvl="4" w:tplc="04180019" w:tentative="1">
      <w:start w:val="1"/>
      <w:numFmt w:val="lowerLetter"/>
      <w:lvlText w:val="%5."/>
      <w:lvlJc w:val="left"/>
      <w:pPr>
        <w:ind w:left="5792" w:hanging="360"/>
      </w:pPr>
    </w:lvl>
    <w:lvl w:ilvl="5" w:tplc="0418001B" w:tentative="1">
      <w:start w:val="1"/>
      <w:numFmt w:val="lowerRoman"/>
      <w:lvlText w:val="%6."/>
      <w:lvlJc w:val="right"/>
      <w:pPr>
        <w:ind w:left="6512" w:hanging="180"/>
      </w:pPr>
    </w:lvl>
    <w:lvl w:ilvl="6" w:tplc="0418000F" w:tentative="1">
      <w:start w:val="1"/>
      <w:numFmt w:val="decimal"/>
      <w:lvlText w:val="%7."/>
      <w:lvlJc w:val="left"/>
      <w:pPr>
        <w:ind w:left="7232" w:hanging="360"/>
      </w:pPr>
    </w:lvl>
    <w:lvl w:ilvl="7" w:tplc="04180019" w:tentative="1">
      <w:start w:val="1"/>
      <w:numFmt w:val="lowerLetter"/>
      <w:lvlText w:val="%8."/>
      <w:lvlJc w:val="left"/>
      <w:pPr>
        <w:ind w:left="7952" w:hanging="360"/>
      </w:pPr>
    </w:lvl>
    <w:lvl w:ilvl="8" w:tplc="0418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3" w15:restartNumberingAfterBreak="0">
    <w:nsid w:val="35506FB7"/>
    <w:multiLevelType w:val="hybridMultilevel"/>
    <w:tmpl w:val="3AA8C1AC"/>
    <w:lvl w:ilvl="0" w:tplc="1736C1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theme="minorBidi" w:hint="default"/>
        <w:color w:val="000000" w:themeColor="text1"/>
        <w:sz w:val="26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2785"/>
    <w:multiLevelType w:val="hybridMultilevel"/>
    <w:tmpl w:val="8C32CB1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35A9A"/>
    <w:multiLevelType w:val="hybridMultilevel"/>
    <w:tmpl w:val="53EA97F4"/>
    <w:lvl w:ilvl="0" w:tplc="B1EC28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F0827"/>
    <w:multiLevelType w:val="hybridMultilevel"/>
    <w:tmpl w:val="6ADCF31E"/>
    <w:lvl w:ilvl="0" w:tplc="FFFFFFFF">
      <w:start w:val="1"/>
      <w:numFmt w:val="decimal"/>
      <w:lvlText w:val="(%1)"/>
      <w:lvlJc w:val="left"/>
      <w:pPr>
        <w:ind w:left="4897" w:hanging="360"/>
      </w:pPr>
      <w:rPr>
        <w:rFonts w:hint="default"/>
        <w:b w:val="0"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924" w:hanging="360"/>
      </w:pPr>
    </w:lvl>
    <w:lvl w:ilvl="2" w:tplc="FFFFFFFF" w:tentative="1">
      <w:start w:val="1"/>
      <w:numFmt w:val="lowerRoman"/>
      <w:lvlText w:val="%3."/>
      <w:lvlJc w:val="right"/>
      <w:pPr>
        <w:ind w:left="3644" w:hanging="180"/>
      </w:pPr>
    </w:lvl>
    <w:lvl w:ilvl="3" w:tplc="FFFFFFFF" w:tentative="1">
      <w:start w:val="1"/>
      <w:numFmt w:val="decimal"/>
      <w:lvlText w:val="%4."/>
      <w:lvlJc w:val="left"/>
      <w:pPr>
        <w:ind w:left="4364" w:hanging="360"/>
      </w:pPr>
    </w:lvl>
    <w:lvl w:ilvl="4" w:tplc="FFFFFFFF" w:tentative="1">
      <w:start w:val="1"/>
      <w:numFmt w:val="lowerLetter"/>
      <w:lvlText w:val="%5."/>
      <w:lvlJc w:val="left"/>
      <w:pPr>
        <w:ind w:left="5084" w:hanging="360"/>
      </w:pPr>
    </w:lvl>
    <w:lvl w:ilvl="5" w:tplc="FFFFFFFF" w:tentative="1">
      <w:start w:val="1"/>
      <w:numFmt w:val="lowerRoman"/>
      <w:lvlText w:val="%6."/>
      <w:lvlJc w:val="right"/>
      <w:pPr>
        <w:ind w:left="5804" w:hanging="180"/>
      </w:pPr>
    </w:lvl>
    <w:lvl w:ilvl="6" w:tplc="FFFFFFFF" w:tentative="1">
      <w:start w:val="1"/>
      <w:numFmt w:val="decimal"/>
      <w:lvlText w:val="%7."/>
      <w:lvlJc w:val="left"/>
      <w:pPr>
        <w:ind w:left="6524" w:hanging="360"/>
      </w:pPr>
    </w:lvl>
    <w:lvl w:ilvl="7" w:tplc="FFFFFFFF" w:tentative="1">
      <w:start w:val="1"/>
      <w:numFmt w:val="lowerLetter"/>
      <w:lvlText w:val="%8."/>
      <w:lvlJc w:val="left"/>
      <w:pPr>
        <w:ind w:left="7244" w:hanging="360"/>
      </w:pPr>
    </w:lvl>
    <w:lvl w:ilvl="8" w:tplc="FFFFFFFF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 w15:restartNumberingAfterBreak="0">
    <w:nsid w:val="3E7663F0"/>
    <w:multiLevelType w:val="hybridMultilevel"/>
    <w:tmpl w:val="512A4C76"/>
    <w:lvl w:ilvl="0" w:tplc="04090017">
      <w:start w:val="1"/>
      <w:numFmt w:val="lowerLetter"/>
      <w:lvlText w:val="%1)"/>
      <w:lvlJc w:val="left"/>
      <w:pPr>
        <w:ind w:left="347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64B68"/>
    <w:multiLevelType w:val="hybridMultilevel"/>
    <w:tmpl w:val="B33A4F02"/>
    <w:lvl w:ilvl="0" w:tplc="895E6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72ACD"/>
    <w:multiLevelType w:val="hybridMultilevel"/>
    <w:tmpl w:val="8A401C58"/>
    <w:lvl w:ilvl="0" w:tplc="AD866C62">
      <w:start w:val="1"/>
      <w:numFmt w:val="decimal"/>
      <w:lvlText w:val="(%1)"/>
      <w:lvlJc w:val="left"/>
      <w:rPr>
        <w:rFonts w:ascii="Calibri" w:eastAsia="Calibri" w:hAnsi="Calibri" w:cs="Calibri"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7D6C3A"/>
    <w:multiLevelType w:val="hybridMultilevel"/>
    <w:tmpl w:val="DF64B79E"/>
    <w:lvl w:ilvl="0" w:tplc="95AEB7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D3C0AEF"/>
    <w:multiLevelType w:val="hybridMultilevel"/>
    <w:tmpl w:val="E266F854"/>
    <w:lvl w:ilvl="0" w:tplc="2F240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0184E68"/>
    <w:multiLevelType w:val="hybridMultilevel"/>
    <w:tmpl w:val="656A0E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95240"/>
    <w:multiLevelType w:val="hybridMultilevel"/>
    <w:tmpl w:val="FCE8FC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11E1A"/>
    <w:multiLevelType w:val="hybridMultilevel"/>
    <w:tmpl w:val="4F641B98"/>
    <w:lvl w:ilvl="0" w:tplc="95AEB7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67308F3"/>
    <w:multiLevelType w:val="hybridMultilevel"/>
    <w:tmpl w:val="4F641B98"/>
    <w:lvl w:ilvl="0" w:tplc="95AEB7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1A0563C"/>
    <w:multiLevelType w:val="hybridMultilevel"/>
    <w:tmpl w:val="DF64B79E"/>
    <w:lvl w:ilvl="0" w:tplc="95AEB7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3B242AA"/>
    <w:multiLevelType w:val="hybridMultilevel"/>
    <w:tmpl w:val="5AB06768"/>
    <w:lvl w:ilvl="0" w:tplc="FE6E68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D6F38"/>
    <w:multiLevelType w:val="hybridMultilevel"/>
    <w:tmpl w:val="7570C96E"/>
    <w:lvl w:ilvl="0" w:tplc="F5DC9612">
      <w:start w:val="1"/>
      <w:numFmt w:val="decimal"/>
      <w:lvlText w:val="(%1)"/>
      <w:lvlJc w:val="left"/>
      <w:pPr>
        <w:ind w:left="2628" w:hanging="360"/>
      </w:pPr>
      <w:rPr>
        <w:rFonts w:hint="default"/>
        <w:b w:val="0"/>
        <w:bCs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2499" w:hanging="360"/>
      </w:pPr>
    </w:lvl>
    <w:lvl w:ilvl="2" w:tplc="0418001B" w:tentative="1">
      <w:start w:val="1"/>
      <w:numFmt w:val="lowerRoman"/>
      <w:lvlText w:val="%3."/>
      <w:lvlJc w:val="right"/>
      <w:pPr>
        <w:ind w:left="3219" w:hanging="180"/>
      </w:pPr>
    </w:lvl>
    <w:lvl w:ilvl="3" w:tplc="0418000F" w:tentative="1">
      <w:start w:val="1"/>
      <w:numFmt w:val="decimal"/>
      <w:lvlText w:val="%4."/>
      <w:lvlJc w:val="left"/>
      <w:pPr>
        <w:ind w:left="3939" w:hanging="360"/>
      </w:pPr>
    </w:lvl>
    <w:lvl w:ilvl="4" w:tplc="04180019" w:tentative="1">
      <w:start w:val="1"/>
      <w:numFmt w:val="lowerLetter"/>
      <w:lvlText w:val="%5."/>
      <w:lvlJc w:val="left"/>
      <w:pPr>
        <w:ind w:left="4659" w:hanging="360"/>
      </w:pPr>
    </w:lvl>
    <w:lvl w:ilvl="5" w:tplc="0418001B" w:tentative="1">
      <w:start w:val="1"/>
      <w:numFmt w:val="lowerRoman"/>
      <w:lvlText w:val="%6."/>
      <w:lvlJc w:val="right"/>
      <w:pPr>
        <w:ind w:left="5379" w:hanging="180"/>
      </w:pPr>
    </w:lvl>
    <w:lvl w:ilvl="6" w:tplc="0418000F" w:tentative="1">
      <w:start w:val="1"/>
      <w:numFmt w:val="decimal"/>
      <w:lvlText w:val="%7."/>
      <w:lvlJc w:val="left"/>
      <w:pPr>
        <w:ind w:left="6099" w:hanging="360"/>
      </w:pPr>
    </w:lvl>
    <w:lvl w:ilvl="7" w:tplc="04180019" w:tentative="1">
      <w:start w:val="1"/>
      <w:numFmt w:val="lowerLetter"/>
      <w:lvlText w:val="%8."/>
      <w:lvlJc w:val="left"/>
      <w:pPr>
        <w:ind w:left="6819" w:hanging="360"/>
      </w:pPr>
    </w:lvl>
    <w:lvl w:ilvl="8" w:tplc="0418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9" w15:restartNumberingAfterBreak="0">
    <w:nsid w:val="76D754DE"/>
    <w:multiLevelType w:val="hybridMultilevel"/>
    <w:tmpl w:val="0D281B72"/>
    <w:lvl w:ilvl="0" w:tplc="123032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8BE6BF9"/>
    <w:multiLevelType w:val="hybridMultilevel"/>
    <w:tmpl w:val="0FF0E1C0"/>
    <w:lvl w:ilvl="0" w:tplc="B4A21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8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24"/>
  </w:num>
  <w:num w:numId="10">
    <w:abstractNumId w:val="20"/>
  </w:num>
  <w:num w:numId="11">
    <w:abstractNumId w:val="26"/>
  </w:num>
  <w:num w:numId="12">
    <w:abstractNumId w:val="0"/>
  </w:num>
  <w:num w:numId="13">
    <w:abstractNumId w:val="25"/>
  </w:num>
  <w:num w:numId="14">
    <w:abstractNumId w:val="29"/>
  </w:num>
  <w:num w:numId="15">
    <w:abstractNumId w:val="23"/>
  </w:num>
  <w:num w:numId="16">
    <w:abstractNumId w:val="1"/>
  </w:num>
  <w:num w:numId="17">
    <w:abstractNumId w:val="13"/>
  </w:num>
  <w:num w:numId="18">
    <w:abstractNumId w:val="5"/>
  </w:num>
  <w:num w:numId="19">
    <w:abstractNumId w:val="6"/>
  </w:num>
  <w:num w:numId="20">
    <w:abstractNumId w:val="17"/>
  </w:num>
  <w:num w:numId="21">
    <w:abstractNumId w:val="11"/>
  </w:num>
  <w:num w:numId="22">
    <w:abstractNumId w:val="12"/>
  </w:num>
  <w:num w:numId="23">
    <w:abstractNumId w:val="28"/>
  </w:num>
  <w:num w:numId="24">
    <w:abstractNumId w:val="30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6"/>
  </w:num>
  <w:num w:numId="28">
    <w:abstractNumId w:val="19"/>
  </w:num>
  <w:num w:numId="29">
    <w:abstractNumId w:val="15"/>
  </w:num>
  <w:num w:numId="30">
    <w:abstractNumId w:val="2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D2"/>
    <w:rsid w:val="00007853"/>
    <w:rsid w:val="000746EA"/>
    <w:rsid w:val="000903B9"/>
    <w:rsid w:val="000B7B92"/>
    <w:rsid w:val="000D468F"/>
    <w:rsid w:val="00203737"/>
    <w:rsid w:val="002432E5"/>
    <w:rsid w:val="00277CE2"/>
    <w:rsid w:val="002B10BC"/>
    <w:rsid w:val="002C69F0"/>
    <w:rsid w:val="003241CF"/>
    <w:rsid w:val="00343940"/>
    <w:rsid w:val="003508CF"/>
    <w:rsid w:val="003A08CF"/>
    <w:rsid w:val="003B1F89"/>
    <w:rsid w:val="003E49B5"/>
    <w:rsid w:val="003E73D7"/>
    <w:rsid w:val="00405B81"/>
    <w:rsid w:val="00413E56"/>
    <w:rsid w:val="00431090"/>
    <w:rsid w:val="00463B75"/>
    <w:rsid w:val="00471C73"/>
    <w:rsid w:val="0047491E"/>
    <w:rsid w:val="00490821"/>
    <w:rsid w:val="004D28E0"/>
    <w:rsid w:val="004E3AD5"/>
    <w:rsid w:val="0051307E"/>
    <w:rsid w:val="00546902"/>
    <w:rsid w:val="00550584"/>
    <w:rsid w:val="005945A0"/>
    <w:rsid w:val="00596CE1"/>
    <w:rsid w:val="005B3170"/>
    <w:rsid w:val="005F1587"/>
    <w:rsid w:val="005F639D"/>
    <w:rsid w:val="006501D2"/>
    <w:rsid w:val="00684545"/>
    <w:rsid w:val="0070057E"/>
    <w:rsid w:val="007634F6"/>
    <w:rsid w:val="00806A38"/>
    <w:rsid w:val="00890FC1"/>
    <w:rsid w:val="008C25CB"/>
    <w:rsid w:val="009A68BB"/>
    <w:rsid w:val="009D44EB"/>
    <w:rsid w:val="00A378F4"/>
    <w:rsid w:val="00A56979"/>
    <w:rsid w:val="00AC2649"/>
    <w:rsid w:val="00B21E8E"/>
    <w:rsid w:val="00B463BB"/>
    <w:rsid w:val="00B47C7C"/>
    <w:rsid w:val="00B50C84"/>
    <w:rsid w:val="00B71967"/>
    <w:rsid w:val="00B807E1"/>
    <w:rsid w:val="00B86270"/>
    <w:rsid w:val="00B95AB8"/>
    <w:rsid w:val="00BC6CD3"/>
    <w:rsid w:val="00C44134"/>
    <w:rsid w:val="00C44BC0"/>
    <w:rsid w:val="00C463C6"/>
    <w:rsid w:val="00C87A86"/>
    <w:rsid w:val="00D168FA"/>
    <w:rsid w:val="00DF1122"/>
    <w:rsid w:val="00F126FC"/>
    <w:rsid w:val="00F9574E"/>
    <w:rsid w:val="00FA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DFA98"/>
  <w15:docId w15:val="{2E837A25-B935-44C4-91E9-AAEDE79B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noProof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Pr>
      <w:noProof/>
      <w:lang w:eastAsia="en-US"/>
    </w:rPr>
  </w:style>
  <w:style w:type="character" w:customStyle="1" w:styleId="ax1">
    <w:name w:val="ax1"/>
    <w:rPr>
      <w:b/>
      <w:bCs/>
      <w:sz w:val="26"/>
      <w:szCs w:val="26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noProof w:val="0"/>
      <w:lang w:val="ro-RO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noProof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doc-ti">
    <w:name w:val="doc-ti"/>
    <w:basedOn w:val="Normal"/>
    <w:pPr>
      <w:spacing w:before="240" w:after="12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o-RO"/>
    </w:rPr>
  </w:style>
  <w:style w:type="paragraph" w:styleId="ListParagraph">
    <w:name w:val="List Paragraph"/>
    <w:aliases w:val="Bullet Points,Liste Paragraf,Normal bullet 2,body 2,List Paragraph1,List Paragraph2,Paragraph,Paragraphe de liste PBLH,Bullet list,Figure_name,Equipment,Numbered Indented Text,lp1,List Paragraph11,List Paragraph Char Char Char,Header bold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ListParagraphChar">
    <w:name w:val="List Paragraph Char"/>
    <w:aliases w:val="Bullet Points Char,Liste Paragraf Char,Normal bullet 2 Char,body 2 Char,List Paragraph1 Char,List Paragraph2 Char,Paragraph Char,Paragraphe de liste PBLH Char,Bullet list Char,Figure_name Char,Equipment Char,lp1 Char,Header bold Char"/>
    <w:link w:val="ListParagraph"/>
    <w:uiPriority w:val="34"/>
    <w:rPr>
      <w:sz w:val="22"/>
      <w:szCs w:val="22"/>
      <w:lang w:eastAsia="en-US"/>
    </w:rPr>
  </w:style>
  <w:style w:type="paragraph" w:customStyle="1" w:styleId="spar5">
    <w:name w:val="s_par5"/>
    <w:basedOn w:val="Normal"/>
    <w:pPr>
      <w:spacing w:after="0" w:line="240" w:lineRule="auto"/>
    </w:pPr>
    <w:rPr>
      <w:rFonts w:ascii="Verdana" w:eastAsiaTheme="minorEastAsia" w:hAnsi="Verdana"/>
      <w:sz w:val="11"/>
      <w:szCs w:val="11"/>
      <w:lang w:eastAsia="ro-RO"/>
    </w:rPr>
  </w:style>
  <w:style w:type="paragraph" w:styleId="NormalWeb">
    <w:name w:val="Normal (Web)"/>
    <w:basedOn w:val="Normal"/>
    <w:uiPriority w:val="99"/>
    <w:unhideWhenUsed/>
    <w:pPr>
      <w:shd w:val="clear" w:color="auto" w:fill="FFFFFF"/>
      <w:spacing w:after="0" w:line="240" w:lineRule="auto"/>
      <w:jc w:val="both"/>
    </w:pPr>
    <w:rPr>
      <w:rFonts w:ascii="Verdana" w:eastAsia="Times New Roman" w:hAnsi="Verdana"/>
      <w:color w:val="000000"/>
      <w:sz w:val="20"/>
      <w:szCs w:val="20"/>
      <w:lang w:eastAsia="ro-RO"/>
    </w:rPr>
  </w:style>
  <w:style w:type="paragraph" w:customStyle="1" w:styleId="spar1">
    <w:name w:val="s_par1"/>
    <w:basedOn w:val="Normal"/>
    <w:pPr>
      <w:spacing w:after="0" w:line="240" w:lineRule="auto"/>
    </w:pPr>
    <w:rPr>
      <w:rFonts w:ascii="Verdana" w:eastAsiaTheme="minorEastAsia" w:hAnsi="Verdana"/>
      <w:sz w:val="15"/>
      <w:szCs w:val="15"/>
      <w:lang w:eastAsia="ro-RO"/>
    </w:rPr>
  </w:style>
  <w:style w:type="character" w:customStyle="1" w:styleId="tpa1">
    <w:name w:val="tpa1"/>
    <w:uiPriority w:val="99"/>
    <w:rPr>
      <w:rFonts w:cs="Times New Roman"/>
    </w:rPr>
  </w:style>
  <w:style w:type="character" w:customStyle="1" w:styleId="do1">
    <w:name w:val="do1"/>
    <w:uiPriority w:val="99"/>
    <w:rPr>
      <w:b/>
      <w:sz w:val="26"/>
    </w:rPr>
  </w:style>
  <w:style w:type="character" w:customStyle="1" w:styleId="TextnotdesubsolCaracter">
    <w:name w:val="Text notă de subsol Caracter"/>
    <w:uiPriority w:val="99"/>
    <w:rPr>
      <w:rFonts w:ascii="Arial" w:hAnsi="Arial" w:cs="Times New Roman"/>
      <w:sz w:val="20"/>
      <w:szCs w:val="20"/>
      <w:lang w:val="en-US" w:eastAsia="ro-RO"/>
    </w:rPr>
  </w:style>
  <w:style w:type="character" w:customStyle="1" w:styleId="tal1">
    <w:name w:val="tal1"/>
    <w:uiPriority w:val="99"/>
    <w:rPr>
      <w:rFonts w:cs="Times New Roman"/>
    </w:rPr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character" w:customStyle="1" w:styleId="slitttl">
    <w:name w:val="s_lit_ttl"/>
    <w:basedOn w:val="DefaultParagraphFont"/>
  </w:style>
  <w:style w:type="character" w:customStyle="1" w:styleId="slitbdy">
    <w:name w:val="s_lit_bdy"/>
    <w:basedOn w:val="DefaultParagraphFont"/>
  </w:style>
  <w:style w:type="paragraph" w:customStyle="1" w:styleId="sartttl">
    <w:name w:val="s_art_tt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par">
    <w:name w:val="s_par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2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06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6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8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01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16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87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87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8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312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860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5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2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2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55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97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0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19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1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15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40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660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130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33362-D1AC-48D6-BE73-2654193A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9</Pages>
  <Words>5558</Words>
  <Characters>31686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AFM</Company>
  <LinksUpToDate>false</LinksUpToDate>
  <CharactersWithSpaces>37170</CharactersWithSpaces>
  <SharedDoc>false</SharedDoc>
  <HLinks>
    <vt:vector size="18" baseType="variant">
      <vt:variant>
        <vt:i4>5963831</vt:i4>
      </vt:variant>
      <vt:variant>
        <vt:i4>6</vt:i4>
      </vt:variant>
      <vt:variant>
        <vt:i4>0</vt:i4>
      </vt:variant>
      <vt:variant>
        <vt:i4>5</vt:i4>
      </vt:variant>
      <vt:variant>
        <vt:lpwstr>C:\Users\Venituri\AppData\Local\Microsoft\AppData\sintact 4.0\cache\Legislatie\temp1246112\00089045.htm</vt:lpwstr>
      </vt:variant>
      <vt:variant>
        <vt:lpwstr/>
      </vt:variant>
      <vt:variant>
        <vt:i4>2687019</vt:i4>
      </vt:variant>
      <vt:variant>
        <vt:i4>3</vt:i4>
      </vt:variant>
      <vt:variant>
        <vt:i4>0</vt:i4>
      </vt:variant>
      <vt:variant>
        <vt:i4>5</vt:i4>
      </vt:variant>
      <vt:variant>
        <vt:lpwstr>http://www.mmediu.ro/beta/wp-content/Local Settings/Temporary Internet Files/Content.Outlook/Local Settings/Temporary Internet Files/Local Settings/Temporary Internet Files/Local Settings/Temporary Internet Files/Content.Outlook/Temp/Local Settings/Local Settings/Temporary Internet Files/Content.Outlook/Local Settings/Temporary Internet Files/Local Settings/Temporary Internet Files/Content.IE5/98TPZ0VH/AppData/Users/juridic/AppData/Local/Microsoft/Windows/Temporary Internet Files/Users/Simona.Ghita/AppData/Local/Microsoft/Users/L.Hristodorescu/AppData/Local/Microsoft/Windows/Temporary Internet Files/Sintact 2.0/cache/Legislatie/temp/00092395.htm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http://www.mmediu.ro/beta/wp-content/Local Settings/Temporary Internet Files/Content.Outlook/Local Settings/Temporary Internet Files/Local Settings/Temporary Internet Files/Local Settings/Temporary Internet Files/Content.Outlook/Temp/Local Settings/Local Settings/Temporary Internet Files/Content.Outlook/Local Settings/Temporary Internet Files/Local Settings/Temporary Internet Files/Content.IE5/98TPZ0VH/AppData/Users/juridic/AppData/Local/Microsoft/Windows/Temporary Internet Files/Users/Simona.Ghita/AppData/Local/Microsoft/Users/L.Hristodorescu/AppData/Local/Microsoft/Windows/Temporary Internet Files/Sintact 2.0/cache/Legislatie/temp/00089045.htm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Venituri</dc:creator>
  <cp:lastModifiedBy>Denisa Rugina</cp:lastModifiedBy>
  <cp:revision>346</cp:revision>
  <cp:lastPrinted>2022-08-09T06:58:00Z</cp:lastPrinted>
  <dcterms:created xsi:type="dcterms:W3CDTF">2022-08-08T10:25:00Z</dcterms:created>
  <dcterms:modified xsi:type="dcterms:W3CDTF">2022-08-17T12:41:00Z</dcterms:modified>
</cp:coreProperties>
</file>